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MGLWL</w:t>
      </w:r>
      <w:r>
        <w:rPr>
          <w:b/>
          <w:bCs/>
          <w:color w:val="170000"/>
          <w:sz w:val="32"/>
        </w:rPr>
        <w:t>20</w:t>
      </w:r>
      <w:r>
        <w:rPr>
          <w:rFonts w:hint="eastAsia"/>
          <w:b/>
          <w:bCs/>
          <w:color w:val="170000"/>
          <w:sz w:val="32"/>
        </w:rPr>
        <w:t>200105）</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sz w:val="36"/>
          <w:szCs w:val="36"/>
        </w:rPr>
        <w:t>2020年01月</w:t>
      </w:r>
      <w:r>
        <w:rPr>
          <w:rFonts w:hint="eastAsia"/>
          <w:sz w:val="28"/>
        </w:rPr>
        <w:t xml:space="preserve"> </w:t>
      </w:r>
    </w:p>
    <w:p>
      <w:pPr>
        <w:pStyle w:val="29"/>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HYPERLINK  \l "_Toc509413672" </w:instrText>
      </w:r>
      <w:r>
        <w:fldChar w:fldCharType="separate"/>
      </w:r>
      <w:r>
        <w:rPr>
          <w:rStyle w:val="25"/>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"_Toc509413673" </w:instrText>
      </w:r>
      <w:r>
        <w:fldChar w:fldCharType="separate"/>
      </w:r>
      <w:r>
        <w:rPr>
          <w:rStyle w:val="25"/>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fldChar w:fldCharType="end"/>
      </w:r>
    </w:p>
    <w:p>
      <w:pPr>
        <w:pStyle w:val="17"/>
        <w:tabs>
          <w:tab w:val="right" w:leader="dot" w:pos="8296"/>
        </w:tabs>
        <w:rPr>
          <w:rStyle w:val="25"/>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5"/>
          <w:b/>
          <w:bCs/>
          <w:sz w:val="24"/>
        </w:rPr>
        <w:t xml:space="preserve">第二章 </w:t>
      </w:r>
      <w:r>
        <w:fldChar w:fldCharType="begin"/>
      </w:r>
      <w:r>
        <w:instrText xml:space="preserve">HYPERLINK  \l "_Toc28249" </w:instrText>
      </w:r>
      <w:r>
        <w:fldChar w:fldCharType="separate"/>
      </w:r>
      <w:r>
        <w:rPr>
          <w:rFonts w:hint="eastAsia"/>
          <w:b/>
          <w:bCs/>
          <w:color w:val="0000FF"/>
          <w:szCs w:val="28"/>
        </w:rPr>
        <w:t>投标格式文件</w:t>
      </w:r>
      <w:r>
        <w:rPr>
          <w:b/>
          <w:bCs/>
          <w:color w:val="0000FF"/>
        </w:rPr>
        <w:tab/>
      </w:r>
      <w: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5"/>
          <w:rFonts w:hint="eastAsia"/>
          <w:b/>
          <w:bCs/>
          <w:sz w:val="24"/>
        </w:rPr>
        <w:t xml:space="preserve">第三章 </w:t>
      </w:r>
      <w:r>
        <w:rPr>
          <w:rStyle w:val="25"/>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"_Toc509413675" </w:instrText>
      </w:r>
      <w:r>
        <w:fldChar w:fldCharType="separate"/>
      </w:r>
      <w:r>
        <w:rPr>
          <w:rStyle w:val="25"/>
          <w:b/>
          <w:bCs/>
          <w:kern w:val="44"/>
          <w:sz w:val="24"/>
        </w:rPr>
        <w:t>第</w:t>
      </w:r>
      <w:r>
        <w:rPr>
          <w:rStyle w:val="25"/>
          <w:rFonts w:hint="eastAsia"/>
          <w:b/>
          <w:bCs/>
          <w:kern w:val="44"/>
          <w:sz w:val="24"/>
        </w:rPr>
        <w:t>四</w:t>
      </w:r>
      <w:r>
        <w:rPr>
          <w:rStyle w:val="25"/>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fldChar w:fldCharType="end"/>
      </w:r>
    </w:p>
    <w:p>
      <w:pPr>
        <w:pStyle w:val="17"/>
        <w:tabs>
          <w:tab w:val="right" w:leader="dot" w:pos="8296"/>
        </w:tabs>
        <w:rPr>
          <w:rFonts w:ascii="Calibri" w:hAnsi="Calibri" w:cs="黑体"/>
          <w:sz w:val="24"/>
        </w:rPr>
      </w:pPr>
      <w:r>
        <w:fldChar w:fldCharType="begin"/>
      </w:r>
      <w:r>
        <w:instrText xml:space="preserve">HYPERLINK  \l "_Toc509413676" </w:instrText>
      </w:r>
      <w:r>
        <w:fldChar w:fldCharType="separate"/>
      </w:r>
      <w:r>
        <w:rPr>
          <w:rStyle w:val="25"/>
          <w:b/>
          <w:bCs/>
          <w:kern w:val="44"/>
          <w:sz w:val="24"/>
        </w:rPr>
        <w:t>第</w:t>
      </w:r>
      <w:r>
        <w:rPr>
          <w:rStyle w:val="25"/>
          <w:rFonts w:hint="eastAsia"/>
          <w:b/>
          <w:bCs/>
          <w:kern w:val="44"/>
          <w:sz w:val="24"/>
        </w:rPr>
        <w:t>五</w:t>
      </w:r>
      <w:r>
        <w:rPr>
          <w:rStyle w:val="25"/>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xml:space="preserve">- </w:t>
      </w:r>
      <w:r>
        <w:rPr>
          <w:rFonts w:hint="eastAsia"/>
          <w:b/>
          <w:bCs/>
          <w:color w:val="0000FF"/>
          <w:sz w:val="24"/>
          <w:lang w:val="en-US" w:eastAsia="zh-CN"/>
        </w:rPr>
        <w:t>22</w:t>
      </w:r>
      <w:r>
        <w:rPr>
          <w:b/>
          <w:bCs/>
          <w:color w:val="0000FF"/>
          <w:sz w:val="24"/>
        </w:rPr>
        <w:t>-</w:t>
      </w:r>
      <w:r>
        <w:rPr>
          <w:b/>
          <w:bCs/>
          <w:color w:val="0000FF"/>
          <w:sz w:val="24"/>
        </w:rPr>
        <w:fldChar w:fldCharType="end"/>
      </w:r>
      <w:r>
        <w:fldChar w:fldCharType="end"/>
      </w:r>
    </w:p>
    <w:p>
      <w:r>
        <w:rPr>
          <w:b/>
          <w:bCs/>
          <w:sz w:val="24"/>
          <w:lang w:val="zh-CN"/>
        </w:rPr>
        <w:fldChar w:fldCharType="end"/>
      </w:r>
    </w:p>
    <w:p>
      <w:pPr>
        <w:widowControl/>
        <w:jc w:val="left"/>
      </w:pPr>
    </w:p>
    <w:p>
      <w:pPr>
        <w:widowControl/>
        <w:jc w:val="left"/>
        <w:rPr>
          <w:rStyle w:val="34"/>
          <w:sz w:val="28"/>
          <w:szCs w:val="28"/>
        </w:rPr>
      </w:pPr>
    </w:p>
    <w:p>
      <w:pPr>
        <w:widowControl/>
        <w:jc w:val="left"/>
        <w:rPr>
          <w:rStyle w:val="34"/>
          <w:sz w:val="28"/>
          <w:szCs w:val="28"/>
        </w:rPr>
      </w:pPr>
      <w:r>
        <w:rPr>
          <w:rStyle w:val="34"/>
          <w:sz w:val="28"/>
          <w:szCs w:val="28"/>
        </w:rPr>
        <w:br w:type="page"/>
      </w:r>
    </w:p>
    <w:p>
      <w:pPr>
        <w:widowControl/>
        <w:jc w:val="left"/>
        <w:rPr>
          <w:rStyle w:val="34"/>
          <w:sz w:val="28"/>
          <w:szCs w:val="28"/>
        </w:rPr>
      </w:pPr>
    </w:p>
    <w:p>
      <w:pPr>
        <w:overflowPunct w:val="0"/>
        <w:spacing w:line="360" w:lineRule="auto"/>
        <w:jc w:val="center"/>
        <w:outlineLvl w:val="0"/>
        <w:rPr>
          <w:rFonts w:ascii="宋体" w:hAnsi="宋体"/>
          <w:b/>
          <w:sz w:val="36"/>
          <w:szCs w:val="36"/>
        </w:rPr>
      </w:pPr>
      <w:bookmarkStart w:id="0" w:name="_Toc508467345"/>
      <w:bookmarkStart w:id="1" w:name="_Toc509411470"/>
      <w:bookmarkStart w:id="2" w:name="_Toc509411550"/>
      <w:bookmarkStart w:id="3" w:name="_Toc509413672"/>
      <w:r>
        <w:rPr>
          <w:rStyle w:val="34"/>
          <w:rFonts w:hint="eastAsia"/>
          <w:sz w:val="28"/>
          <w:szCs w:val="28"/>
        </w:rPr>
        <w:t>摘　要</w:t>
      </w:r>
      <w:bookmarkEnd w:id="0"/>
      <w:bookmarkEnd w:id="1"/>
      <w:bookmarkEnd w:id="2"/>
      <w:bookmarkEnd w:id="3"/>
    </w:p>
    <w:tbl>
      <w:tblPr>
        <w:tblW w:w="8545" w:type="dxa"/>
        <w:tblInd w:w="3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
      <w:tblGrid>
        <w:gridCol w:w="720"/>
        <w:gridCol w:w="2303"/>
        <w:gridCol w:w="5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593" w:hRule="atLeast"/>
        </w:trPr>
        <w:tc>
          <w:tcPr>
            <w:tcW w:w="720" w:type="dxa"/>
            <w:vAlign w:val="center"/>
          </w:tcPr>
          <w:p>
            <w:pPr>
              <w:overflowPunct w:val="0"/>
              <w:jc w:val="center"/>
              <w:rPr>
                <w:rFonts w:ascii="宋体" w:hAnsi="宋体"/>
                <w:sz w:val="24"/>
              </w:rPr>
            </w:pPr>
            <w:r>
              <w:rPr>
                <w:rFonts w:hint="eastAsia" w:ascii="宋体" w:hAnsi="宋体"/>
                <w:sz w:val="24"/>
              </w:rPr>
              <w:t>项号</w:t>
            </w:r>
          </w:p>
        </w:tc>
        <w:tc>
          <w:tcPr>
            <w:tcW w:w="2303" w:type="dxa"/>
            <w:vAlign w:val="center"/>
          </w:tcPr>
          <w:p>
            <w:pPr>
              <w:overflowPunct w:val="0"/>
              <w:jc w:val="center"/>
              <w:rPr>
                <w:rFonts w:ascii="宋体" w:hAnsi="宋体"/>
                <w:sz w:val="24"/>
              </w:rPr>
            </w:pPr>
            <w:r>
              <w:rPr>
                <w:rFonts w:hint="eastAsia" w:ascii="宋体" w:hAnsi="宋体"/>
                <w:sz w:val="24"/>
              </w:rPr>
              <w:t>主题</w:t>
            </w:r>
          </w:p>
        </w:tc>
        <w:tc>
          <w:tcPr>
            <w:tcW w:w="5522"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303" w:type="dxa"/>
            <w:vAlign w:val="center"/>
          </w:tcPr>
          <w:p>
            <w:pPr>
              <w:overflowPunct w:val="0"/>
              <w:spacing w:line="340" w:lineRule="exact"/>
              <w:rPr>
                <w:rFonts w:ascii="宋体" w:hAnsi="宋体"/>
                <w:szCs w:val="21"/>
              </w:rPr>
            </w:pPr>
            <w:r>
              <w:rPr>
                <w:rFonts w:hint="eastAsia" w:ascii="宋体" w:hAnsi="宋体"/>
                <w:szCs w:val="21"/>
              </w:rPr>
              <w:t>招标人</w:t>
            </w:r>
          </w:p>
        </w:tc>
        <w:tc>
          <w:tcPr>
            <w:tcW w:w="5522"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303" w:type="dxa"/>
            <w:vAlign w:val="center"/>
          </w:tcPr>
          <w:p>
            <w:pPr>
              <w:overflowPunct w:val="0"/>
              <w:spacing w:line="340" w:lineRule="exact"/>
              <w:rPr>
                <w:rFonts w:ascii="宋体" w:hAnsi="宋体"/>
                <w:szCs w:val="21"/>
              </w:rPr>
            </w:pPr>
            <w:r>
              <w:rPr>
                <w:rFonts w:hint="eastAsia" w:ascii="宋体" w:hAnsi="宋体"/>
                <w:szCs w:val="21"/>
              </w:rPr>
              <w:t>招标采购</w:t>
            </w:r>
            <w:r>
              <w:rPr>
                <w:rFonts w:ascii="宋体" w:hAnsi="宋体"/>
                <w:szCs w:val="21"/>
              </w:rPr>
              <w:t>内容</w:t>
            </w:r>
          </w:p>
        </w:tc>
        <w:tc>
          <w:tcPr>
            <w:tcW w:w="5522" w:type="dxa"/>
            <w:vAlign w:val="center"/>
          </w:tcPr>
          <w:p>
            <w:pPr>
              <w:snapToGrid w:val="0"/>
              <w:spacing w:line="340" w:lineRule="exact"/>
              <w:rPr>
                <w:rFonts w:ascii="宋体" w:hAnsi="宋体"/>
                <w:szCs w:val="21"/>
              </w:rPr>
            </w:pPr>
            <w:r>
              <w:rPr>
                <w:rFonts w:hint="eastAsia" w:ascii="宋体" w:hAnsi="宋体"/>
                <w:bCs/>
                <w:szCs w:val="21"/>
              </w:rPr>
              <w:t>2020年1月-2021年12月陶瓷隔膜采购项目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303" w:type="dxa"/>
            <w:vAlign w:val="center"/>
          </w:tcPr>
          <w:p>
            <w:pPr>
              <w:overflowPunct w:val="0"/>
              <w:spacing w:line="340" w:lineRule="exact"/>
              <w:rPr>
                <w:rFonts w:ascii="宋体" w:hAnsi="宋体"/>
                <w:szCs w:val="21"/>
              </w:rPr>
            </w:pPr>
            <w:r>
              <w:rPr>
                <w:rFonts w:hint="eastAsia" w:ascii="宋体" w:hAnsi="宋体"/>
                <w:szCs w:val="21"/>
              </w:rPr>
              <w:t>预估总需求数量</w:t>
            </w:r>
          </w:p>
        </w:tc>
        <w:tc>
          <w:tcPr>
            <w:tcW w:w="5522" w:type="dxa"/>
            <w:vAlign w:val="center"/>
          </w:tcPr>
          <w:p>
            <w:pPr>
              <w:overflowPunct w:val="0"/>
              <w:spacing w:line="340" w:lineRule="exact"/>
              <w:rPr>
                <w:rFonts w:hint="eastAsia" w:ascii="宋体" w:hAnsi="宋体"/>
                <w:b/>
                <w:color w:val="FF0000"/>
                <w:szCs w:val="21"/>
                <w:lang w:val="en-US" w:eastAsia="zh-CN"/>
              </w:rPr>
            </w:pPr>
            <w:r>
              <w:rPr>
                <w:rFonts w:hint="eastAsia" w:ascii="宋体" w:hAnsi="宋体"/>
                <w:b/>
                <w:color w:val="FF0000"/>
                <w:szCs w:val="21"/>
                <w:lang w:val="en-US" w:eastAsia="zh-CN"/>
              </w:rPr>
              <w:t>PE陶瓷隔膜：2020年：2850万m2；2021年：4750万m2</w:t>
            </w:r>
          </w:p>
          <w:p>
            <w:pPr>
              <w:overflowPunct w:val="0"/>
              <w:spacing w:line="340" w:lineRule="exact"/>
              <w:rPr>
                <w:rFonts w:hint="eastAsia" w:ascii="宋体" w:hAnsi="宋体"/>
                <w:b/>
                <w:color w:val="FF0000"/>
                <w:szCs w:val="21"/>
                <w:lang w:val="en-US" w:eastAsia="zh-CN"/>
              </w:rPr>
            </w:pPr>
            <w:r>
              <w:rPr>
                <w:rFonts w:hint="eastAsia" w:ascii="宋体" w:hAnsi="宋体"/>
                <w:b/>
                <w:color w:val="FF0000"/>
                <w:szCs w:val="21"/>
                <w:lang w:val="en-US" w:eastAsia="zh-CN"/>
              </w:rPr>
              <w:t>PP陶瓷隔膜：2020年：500万m2；2021年：830万m2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522"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bookmarkStart w:id="71" w:name="_GoBack"/>
            <w:bookmarkEnd w:id="7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049"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522"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522"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522"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单独装订成书（不允许用活页夹子）</w:t>
            </w:r>
            <w:r>
              <w:rPr>
                <w:rFonts w:hint="eastAsia" w:hAnsi="宋体"/>
                <w:b/>
                <w:szCs w:val="21"/>
              </w:rPr>
              <w:t>，其中商务标文件需单独密封再一并邮寄。要严格按照招标文件规范执行。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522"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共一正三副，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522" w:type="dxa"/>
            <w:vAlign w:val="bottom"/>
          </w:tcPr>
          <w:p>
            <w:pPr>
              <w:pStyle w:val="12"/>
              <w:overflowPunct w:val="0"/>
              <w:spacing w:line="340" w:lineRule="exact"/>
              <w:rPr>
                <w:bCs/>
                <w:color w:val="FF0000"/>
                <w:sz w:val="21"/>
                <w:szCs w:val="21"/>
              </w:rPr>
            </w:pPr>
            <w:r>
              <w:rPr>
                <w:bCs/>
                <w:color w:val="FF0000"/>
                <w:sz w:val="21"/>
                <w:szCs w:val="21"/>
              </w:rPr>
              <w:t>投标保证金为人民币</w:t>
            </w:r>
            <w:r>
              <w:rPr>
                <w:rFonts w:hint="eastAsia"/>
                <w:bCs/>
                <w:color w:val="FF0000"/>
                <w:sz w:val="21"/>
                <w:szCs w:val="21"/>
              </w:rPr>
              <w:t>伍万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Ansi="宋体"/>
                <w:bCs/>
                <w:szCs w:val="21"/>
              </w:rPr>
            </w:pPr>
            <w:r>
              <w:rPr>
                <w:rFonts w:hint="eastAsia" w:ascii="宋体" w:hAnsi="宋体"/>
                <w:bCs/>
                <w:szCs w:val="21"/>
              </w:rPr>
              <w:t>上述款项缴</w:t>
            </w:r>
            <w:r>
              <w:rPr>
                <w:rFonts w:ascii="宋体" w:hAnsi="宋体"/>
                <w:bCs/>
                <w:szCs w:val="21"/>
              </w:rPr>
              <w:t>纳</w:t>
            </w:r>
            <w:r>
              <w:rPr>
                <w:rFonts w:hint="eastAsia" w:ascii="宋体" w:hAnsi="宋体"/>
                <w:bCs/>
                <w:szCs w:val="21"/>
              </w:rPr>
              <w:t>账号</w:t>
            </w:r>
            <w:r>
              <w:rPr>
                <w:rFonts w:ascii="宋体" w:hAnsi="宋体"/>
                <w:bCs/>
                <w:szCs w:val="21"/>
              </w:rPr>
              <w:t>：</w:t>
            </w:r>
            <w:r>
              <w:rPr>
                <w:rFonts w:hint="eastAsia" w:ascii="宋体"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522" w:type="dxa"/>
            <w:vAlign w:val="bottom"/>
          </w:tcPr>
          <w:p>
            <w:pPr>
              <w:overflowPunct w:val="0"/>
              <w:spacing w:line="720" w:lineRule="auto"/>
              <w:jc w:val="left"/>
              <w:rPr>
                <w:rFonts w:ascii="宋体" w:hAnsi="宋体"/>
                <w:bCs/>
                <w:szCs w:val="21"/>
              </w:rPr>
            </w:pPr>
            <w:r>
              <w:rPr>
                <w:rFonts w:hint="eastAsia" w:ascii="宋体" w:hAnsi="宋体"/>
                <w:bCs/>
                <w:szCs w:val="21"/>
              </w:rPr>
              <w:t>2020年1月1</w:t>
            </w:r>
            <w:r>
              <w:rPr>
                <w:rFonts w:hint="eastAsia" w:ascii="宋体" w:hAnsi="宋体"/>
                <w:bCs/>
                <w:szCs w:val="21"/>
                <w:lang w:val="en-US" w:eastAsia="zh-CN"/>
              </w:rPr>
              <w:t>2</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bCs/>
                <w:szCs w:val="21"/>
              </w:rPr>
            </w:pPr>
            <w:r>
              <w:rPr>
                <w:rFonts w:hint="eastAsia" w:ascii="宋体" w:hAnsi="宋体"/>
                <w:bCs/>
                <w:szCs w:val="21"/>
              </w:rPr>
              <w:t>11</w:t>
            </w:r>
          </w:p>
        </w:tc>
        <w:tc>
          <w:tcPr>
            <w:tcW w:w="2303"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522" w:type="dxa"/>
            <w:vAlign w:val="center"/>
          </w:tcPr>
          <w:p>
            <w:pPr>
              <w:overflowPunct w:val="0"/>
              <w:rPr>
                <w:rFonts w:ascii="宋体" w:hAnsi="宋体"/>
                <w:bCs/>
                <w:szCs w:val="21"/>
              </w:rPr>
            </w:pPr>
            <w:r>
              <w:rPr>
                <w:rFonts w:hint="eastAsia" w:ascii="宋体" w:hAnsi="宋体"/>
                <w:bCs/>
                <w:szCs w:val="21"/>
              </w:rPr>
              <w:t>2020年1月1</w:t>
            </w:r>
            <w:r>
              <w:rPr>
                <w:rFonts w:hint="eastAsia" w:ascii="宋体" w:hAnsi="宋体"/>
                <w:bCs/>
                <w:szCs w:val="21"/>
                <w:lang w:val="en-US" w:eastAsia="zh-CN"/>
              </w:rPr>
              <w:t>3</w:t>
            </w:r>
            <w:r>
              <w:rPr>
                <w:rFonts w:hint="eastAsia" w:ascii="宋体" w:hAnsi="宋体"/>
                <w:bCs/>
                <w:szCs w:val="21"/>
              </w:rPr>
              <w:t xml:space="preserve">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ascii="宋体" w:hAnsi="宋体"/>
                <w:bCs/>
                <w:szCs w:val="21"/>
              </w:rPr>
            </w:pPr>
            <w:r>
              <w:rPr>
                <w:rFonts w:hint="eastAsia" w:ascii="宋体" w:hAnsi="宋体"/>
                <w:bCs/>
                <w:szCs w:val="21"/>
              </w:rPr>
              <w:t xml:space="preserve">12                   </w:t>
            </w:r>
          </w:p>
        </w:tc>
        <w:tc>
          <w:tcPr>
            <w:tcW w:w="2303" w:type="dxa"/>
            <w:vAlign w:val="top"/>
          </w:tcPr>
          <w:p>
            <w:pPr>
              <w:overflowPunct w:val="0"/>
              <w:spacing w:line="340" w:lineRule="exact"/>
              <w:jc w:val="center"/>
              <w:rPr>
                <w:rFonts w:ascii="宋体" w:hAnsi="宋体"/>
                <w:bCs/>
                <w:szCs w:val="21"/>
              </w:rPr>
            </w:pPr>
          </w:p>
          <w:p>
            <w:pPr>
              <w:jc w:val="center"/>
            </w:pPr>
            <w:r>
              <w:rPr>
                <w:rFonts w:hint="eastAsia"/>
              </w:rPr>
              <w:t>说明</w:t>
            </w:r>
          </w:p>
        </w:tc>
        <w:tc>
          <w:tcPr>
            <w:tcW w:w="5522" w:type="dxa"/>
            <w:vAlign w:val="top"/>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0"/>
              <w:numPr>
                <w:ilvl w:val="0"/>
                <w:numId w:val="0"/>
              </w:numPr>
              <w:spacing w:before="383"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0"/>
              <w:numPr>
                <w:ilvl w:val="0"/>
                <w:numId w:val="0"/>
              </w:numPr>
              <w:spacing w:before="383"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ascii="宋体" w:hAnsi="宋体"/>
                <w:bCs/>
                <w:szCs w:val="21"/>
              </w:rPr>
            </w:pPr>
            <w:r>
              <w:rPr>
                <w:rFonts w:hint="eastAsia" w:ascii="宋体" w:hAnsi="宋体"/>
                <w:bCs/>
                <w:szCs w:val="21"/>
              </w:rPr>
              <w:t>13</w:t>
            </w:r>
          </w:p>
        </w:tc>
        <w:tc>
          <w:tcPr>
            <w:tcW w:w="2303" w:type="dxa"/>
            <w:vAlign w:val="top"/>
          </w:tcPr>
          <w:p>
            <w:pPr>
              <w:overflowPunct w:val="0"/>
              <w:spacing w:line="340" w:lineRule="exact"/>
              <w:jc w:val="center"/>
              <w:rPr>
                <w:rFonts w:ascii="宋体" w:hAnsi="宋体"/>
                <w:bCs/>
                <w:szCs w:val="21"/>
              </w:rPr>
            </w:pPr>
            <w:r>
              <w:rPr>
                <w:rFonts w:hint="eastAsia" w:ascii="宋体" w:hAnsi="宋体" w:cs="宋体"/>
                <w:bCs/>
                <w:kern w:val="0"/>
                <w:szCs w:val="21"/>
              </w:rPr>
              <w:t>招标监督信息</w:t>
            </w:r>
          </w:p>
        </w:tc>
        <w:tc>
          <w:tcPr>
            <w:tcW w:w="5522" w:type="dxa"/>
            <w:vAlign w:val="top"/>
          </w:tcPr>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HYPERLINK "mailto:jcsjb@mgldl.com.cn" </w:instrText>
            </w:r>
            <w:r>
              <w:fldChar w:fldCharType="separate"/>
            </w:r>
            <w:r>
              <w:rPr>
                <w:rFonts w:hint="eastAsia" w:ascii="宋体" w:hAnsi="宋体" w:eastAsia="宋体" w:cs="宋体"/>
                <w:szCs w:val="21"/>
              </w:rPr>
              <w:t>jcsjb@mgldl.com.cn</w:t>
            </w:r>
            <w:r>
              <w:fldChar w:fldCharType="end"/>
            </w:r>
            <w:r>
              <w:rPr>
                <w:rFonts w:hint="eastAsia" w:ascii="宋体" w:hAnsi="宋体" w:eastAsia="宋体" w:cs="宋体"/>
                <w:szCs w:val="21"/>
              </w:rPr>
              <w:t xml:space="preserve">   监督QQ：3397311883</w:t>
            </w:r>
          </w:p>
          <w:p>
            <w:pPr>
              <w:pStyle w:val="30"/>
              <w:numPr>
                <w:ilvl w:val="0"/>
                <w:numId w:val="0"/>
              </w:numPr>
              <w:spacing w:before="383" w:afterLines="30"/>
              <w:jc w:val="left"/>
              <w:rPr>
                <w:rFonts w:ascii="宋体" w:hAnsi="宋体"/>
                <w:szCs w:val="21"/>
              </w:rPr>
            </w:pPr>
            <w:r>
              <w:rPr>
                <w:rFonts w:hint="eastAsia" w:ascii="宋体" w:hAnsi="宋体" w:eastAsia="宋体" w:cs="宋体"/>
                <w:szCs w:val="21"/>
              </w:rPr>
              <w:t xml:space="preserve">监督微信：13522897660 </w:t>
            </w:r>
          </w:p>
        </w:tc>
      </w:tr>
    </w:tbl>
    <w:p>
      <w:pPr>
        <w:pStyle w:val="28"/>
        <w:numPr>
          <w:ilvl w:val="0"/>
          <w:numId w:val="2"/>
        </w:numPr>
        <w:overflowPunct w:val="0"/>
        <w:spacing w:line="360" w:lineRule="auto"/>
        <w:ind w:firstLineChars="0"/>
        <w:jc w:val="center"/>
        <w:outlineLvl w:val="0"/>
        <w:rPr>
          <w:rStyle w:val="34"/>
          <w:sz w:val="28"/>
          <w:szCs w:val="28"/>
        </w:rPr>
      </w:pPr>
      <w:r>
        <w:rPr>
          <w:rFonts w:hint="eastAsia"/>
        </w:rPr>
        <w:br w:type="page"/>
      </w:r>
      <w:bookmarkStart w:id="4" w:name="_Toc509411471"/>
      <w:bookmarkStart w:id="5" w:name="_Toc508467346"/>
      <w:bookmarkStart w:id="6" w:name="_Toc509413673"/>
      <w:bookmarkStart w:id="7" w:name="_Toc509411551"/>
      <w:bookmarkStart w:id="8" w:name="_Toc19073"/>
      <w:bookmarkStart w:id="9" w:name="_Toc7456"/>
      <w:bookmarkStart w:id="10" w:name="_Toc509411472"/>
      <w:bookmarkStart w:id="11" w:name="_Toc509411552"/>
      <w:bookmarkStart w:id="12" w:name="_Toc509413674"/>
      <w:bookmarkStart w:id="13" w:name="_Toc509411475"/>
      <w:bookmarkStart w:id="14" w:name="_Toc509411555"/>
      <w:bookmarkStart w:id="15" w:name="_Toc509411474"/>
      <w:bookmarkStart w:id="16" w:name="_Toc509411554"/>
      <w:bookmarkStart w:id="17" w:name="_Toc509413676"/>
      <w:r>
        <w:rPr>
          <w:rStyle w:val="34"/>
          <w:rFonts w:hint="eastAsia"/>
          <w:sz w:val="28"/>
          <w:szCs w:val="28"/>
        </w:rPr>
        <w:t>投标须知</w:t>
      </w:r>
    </w:p>
    <w:p>
      <w:pPr>
        <w:overflowPunct w:val="0"/>
        <w:spacing w:line="360" w:lineRule="auto"/>
        <w:outlineLvl w:val="0"/>
        <w:rPr>
          <w:rStyle w:val="34"/>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8" w:name="_Toc8039"/>
      <w:r>
        <w:rPr>
          <w:rFonts w:hint="eastAsia" w:ascii="宋体" w:hAnsi="宋体" w:cs="宋体"/>
          <w:b/>
          <w:sz w:val="24"/>
        </w:rPr>
        <w:t>1. 说明</w:t>
      </w:r>
      <w:bookmarkEnd w:id="18"/>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2020</w:t>
      </w:r>
      <w:r>
        <w:rPr>
          <w:rFonts w:hint="eastAsia" w:ascii="宋体" w:hAnsi="宋体" w:cs="宋体"/>
          <w:b/>
          <w:sz w:val="24"/>
          <w:u w:val="single"/>
          <w:lang w:val="en-US" w:eastAsia="zh-CN"/>
        </w:rPr>
        <w:t>年1月</w:t>
      </w:r>
      <w:r>
        <w:rPr>
          <w:rFonts w:hint="eastAsia" w:ascii="宋体" w:hAnsi="宋体" w:cs="宋体"/>
          <w:b/>
          <w:sz w:val="24"/>
          <w:u w:val="single"/>
        </w:rPr>
        <w:t>-2021年</w:t>
      </w:r>
      <w:r>
        <w:rPr>
          <w:rFonts w:hint="eastAsia" w:ascii="宋体" w:hAnsi="宋体" w:cs="宋体"/>
          <w:b/>
          <w:sz w:val="24"/>
          <w:u w:val="single"/>
          <w:lang w:val="en-US" w:eastAsia="zh-CN"/>
        </w:rPr>
        <w:t>12月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9" w:name="_Toc29031"/>
      <w:bookmarkStart w:id="20" w:name="_Toc3393"/>
      <w:r>
        <w:rPr>
          <w:rFonts w:hint="eastAsia" w:ascii="宋体" w:hAnsi="宋体" w:cs="宋体"/>
          <w:b/>
          <w:sz w:val="24"/>
        </w:rPr>
        <w:t>2. 词语释义</w:t>
      </w:r>
      <w:bookmarkEnd w:id="19"/>
      <w:bookmarkEnd w:id="20"/>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21" w:name="_Toc30720"/>
      <w:bookmarkStart w:id="22" w:name="_Toc12828"/>
      <w:r>
        <w:rPr>
          <w:rFonts w:hint="eastAsia" w:ascii="宋体" w:hAnsi="宋体" w:cs="宋体"/>
          <w:b/>
          <w:sz w:val="24"/>
        </w:rPr>
        <w:t>B 投标人</w:t>
      </w:r>
      <w:bookmarkEnd w:id="21"/>
      <w:bookmarkEnd w:id="22"/>
    </w:p>
    <w:p>
      <w:pPr>
        <w:rPr>
          <w:rFonts w:ascii="宋体" w:hAnsi="宋体" w:cs="宋体"/>
          <w:b/>
          <w:sz w:val="24"/>
        </w:rPr>
      </w:pPr>
      <w:bookmarkStart w:id="23" w:name="_Toc26778"/>
      <w:bookmarkStart w:id="24" w:name="_Toc27382"/>
      <w:r>
        <w:rPr>
          <w:rFonts w:hint="eastAsia" w:ascii="宋体" w:hAnsi="宋体" w:cs="宋体"/>
          <w:b/>
          <w:sz w:val="24"/>
        </w:rPr>
        <w:t>3. 合格投标人的条件</w:t>
      </w:r>
      <w:bookmarkEnd w:id="23"/>
      <w:bookmarkEnd w:id="24"/>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25" w:name="_Toc23308"/>
      <w:bookmarkStart w:id="26" w:name="_Toc29912"/>
      <w:r>
        <w:rPr>
          <w:rFonts w:hint="eastAsia" w:ascii="宋体" w:hAnsi="宋体" w:cs="宋体"/>
          <w:b/>
          <w:sz w:val="24"/>
        </w:rPr>
        <w:t>4. 投标人代表</w:t>
      </w:r>
      <w:bookmarkEnd w:id="25"/>
      <w:bookmarkEnd w:id="26"/>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27" w:name="_Toc681"/>
      <w:bookmarkStart w:id="28" w:name="_Toc31186"/>
      <w:r>
        <w:rPr>
          <w:rFonts w:hint="eastAsia" w:ascii="宋体" w:hAnsi="宋体" w:cs="宋体"/>
          <w:b/>
          <w:sz w:val="24"/>
        </w:rPr>
        <w:t>5. 费用</w:t>
      </w:r>
      <w:bookmarkEnd w:id="27"/>
      <w:bookmarkEnd w:id="28"/>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9" w:name="_Toc27626"/>
      <w:bookmarkStart w:id="30" w:name="_Toc814"/>
      <w:r>
        <w:rPr>
          <w:rFonts w:hint="eastAsia" w:ascii="宋体" w:hAnsi="宋体" w:cs="宋体"/>
          <w:b/>
          <w:sz w:val="24"/>
        </w:rPr>
        <w:t>C 招标文件说明</w:t>
      </w:r>
      <w:bookmarkEnd w:id="29"/>
      <w:bookmarkEnd w:id="30"/>
    </w:p>
    <w:p>
      <w:pPr>
        <w:rPr>
          <w:rFonts w:ascii="宋体" w:hAnsi="宋体" w:cs="宋体"/>
          <w:b/>
          <w:sz w:val="24"/>
        </w:rPr>
      </w:pPr>
      <w:bookmarkStart w:id="31" w:name="_Toc14605"/>
      <w:bookmarkStart w:id="32" w:name="_Toc23984"/>
      <w:r>
        <w:rPr>
          <w:rFonts w:hint="eastAsia" w:ascii="宋体" w:hAnsi="宋体" w:cs="宋体"/>
          <w:b/>
          <w:sz w:val="24"/>
        </w:rPr>
        <w:t>6. 招标文件</w:t>
      </w:r>
      <w:bookmarkEnd w:id="31"/>
      <w:bookmarkEnd w:id="32"/>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33" w:name="_Toc31584"/>
      <w:bookmarkStart w:id="34" w:name="_Toc27675"/>
      <w:r>
        <w:rPr>
          <w:rFonts w:hint="eastAsia" w:ascii="宋体" w:hAnsi="宋体" w:cs="宋体"/>
          <w:b/>
          <w:sz w:val="24"/>
        </w:rPr>
        <w:t>7. 对招标文件的澄清</w:t>
      </w:r>
      <w:bookmarkEnd w:id="33"/>
      <w:bookmarkEnd w:id="34"/>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35" w:name="_Toc10722"/>
      <w:bookmarkStart w:id="36" w:name="_Toc8693"/>
      <w:r>
        <w:rPr>
          <w:rFonts w:hint="eastAsia" w:ascii="宋体" w:hAnsi="宋体" w:cs="宋体"/>
          <w:b/>
          <w:sz w:val="24"/>
        </w:rPr>
        <w:t>8. 招标文件的修改</w:t>
      </w:r>
      <w:bookmarkEnd w:id="35"/>
      <w:bookmarkEnd w:id="36"/>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37" w:name="_Toc9695"/>
      <w:bookmarkStart w:id="38" w:name="_Toc27720"/>
      <w:r>
        <w:rPr>
          <w:rFonts w:hint="eastAsia" w:ascii="宋体" w:hAnsi="宋体" w:cs="宋体"/>
          <w:b/>
          <w:sz w:val="24"/>
        </w:rPr>
        <w:t>D投标文件说明</w:t>
      </w:r>
      <w:bookmarkEnd w:id="37"/>
      <w:bookmarkEnd w:id="38"/>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9" w:name="_Toc9100"/>
      <w:bookmarkStart w:id="40" w:name="_Toc23579"/>
      <w:r>
        <w:rPr>
          <w:rFonts w:ascii="Arial" w:hAnsi="Arial" w:cs="Arial"/>
          <w:b/>
          <w:sz w:val="24"/>
        </w:rPr>
        <w:t>＊</w:t>
      </w:r>
      <w:r>
        <w:rPr>
          <w:rFonts w:hint="eastAsia" w:ascii="宋体" w:hAnsi="宋体" w:cs="宋体"/>
          <w:b/>
          <w:sz w:val="24"/>
        </w:rPr>
        <w:t>10. 投标文件计量单位和使用文字</w:t>
      </w:r>
      <w:bookmarkEnd w:id="39"/>
      <w:bookmarkEnd w:id="40"/>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41" w:name="_Toc32010"/>
      <w:bookmarkStart w:id="42" w:name="_Toc10482"/>
      <w:r>
        <w:rPr>
          <w:rFonts w:ascii="Arial" w:hAnsi="Arial" w:cs="Arial"/>
          <w:b/>
          <w:sz w:val="24"/>
        </w:rPr>
        <w:t>＊</w:t>
      </w:r>
      <w:r>
        <w:rPr>
          <w:rFonts w:hint="eastAsia" w:ascii="宋体" w:hAnsi="宋体" w:cs="宋体"/>
          <w:b/>
          <w:sz w:val="24"/>
        </w:rPr>
        <w:t>11. 投标文件的组成</w:t>
      </w:r>
      <w:bookmarkEnd w:id="41"/>
      <w:bookmarkEnd w:id="42"/>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28"/>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28"/>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28"/>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28"/>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rPr>
        <w:t>9～2</w:t>
      </w:r>
      <w:r>
        <w:rPr>
          <w:rFonts w:ascii="宋体" w:hAnsi="宋体" w:cs="宋体"/>
          <w:color w:val="000000"/>
          <w:sz w:val="24"/>
        </w:rPr>
        <w:t>0</w:t>
      </w:r>
      <w:r>
        <w:rPr>
          <w:rFonts w:hint="eastAsia" w:ascii="宋体" w:hAnsi="宋体" w:cs="宋体"/>
          <w:color w:val="000000"/>
          <w:sz w:val="24"/>
        </w:rPr>
        <w:t>20年销售业绩清单(列表说明，业绩中要求体现采购方、销售数据等信息)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28"/>
        <w:numPr>
          <w:ilvl w:val="0"/>
          <w:numId w:val="3"/>
        </w:numPr>
        <w:ind w:left="3256" w:firstLineChars="0"/>
        <w:rPr>
          <w:rFonts w:ascii="宋体" w:hAnsi="宋体" w:cs="宋体"/>
          <w:color w:val="000000"/>
          <w:sz w:val="24"/>
          <w:u w:val="single"/>
        </w:rPr>
      </w:pPr>
      <w:bookmarkStart w:id="43" w:name="_Toc17069"/>
      <w:bookmarkStart w:id="44" w:name="_Toc4969"/>
      <w:r>
        <w:rPr>
          <w:rFonts w:hint="eastAsia" w:ascii="宋体" w:hAnsi="宋体" w:cs="宋体"/>
          <w:color w:val="000000"/>
          <w:sz w:val="24"/>
          <w:u w:val="single"/>
        </w:rPr>
        <w:t>报价一览表(附件５)；</w:t>
      </w:r>
      <w:bookmarkEnd w:id="43"/>
      <w:bookmarkEnd w:id="44"/>
    </w:p>
    <w:p>
      <w:pPr>
        <w:pStyle w:val="28"/>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28"/>
        <w:numPr>
          <w:ilvl w:val="0"/>
          <w:numId w:val="3"/>
        </w:numPr>
        <w:ind w:left="3256" w:firstLineChars="0"/>
        <w:rPr>
          <w:rFonts w:ascii="宋体" w:hAnsi="宋体" w:cs="宋体"/>
          <w:color w:val="000000"/>
          <w:sz w:val="24"/>
          <w:u w:val="single"/>
        </w:rPr>
      </w:pPr>
      <w:bookmarkStart w:id="45" w:name="_Toc24159"/>
      <w:bookmarkStart w:id="46" w:name="_Toc12091"/>
      <w:r>
        <w:rPr>
          <w:rFonts w:hint="eastAsia" w:ascii="宋体" w:hAnsi="宋体" w:cs="宋体"/>
          <w:color w:val="000000"/>
          <w:sz w:val="24"/>
          <w:u w:val="single"/>
        </w:rPr>
        <w:t>合同条款偏离表</w:t>
      </w:r>
      <w:bookmarkEnd w:id="45"/>
      <w:bookmarkEnd w:id="46"/>
      <w:r>
        <w:rPr>
          <w:rFonts w:hint="eastAsia" w:ascii="宋体" w:hAnsi="宋体" w:cs="宋体"/>
          <w:color w:val="000000"/>
          <w:sz w:val="24"/>
          <w:u w:val="single"/>
        </w:rPr>
        <w:t>（附件７）。</w:t>
      </w:r>
    </w:p>
    <w:p>
      <w:pPr>
        <w:pStyle w:val="28"/>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47" w:name="_Toc23718"/>
      <w:bookmarkStart w:id="48"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28"/>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28"/>
        <w:ind w:firstLine="0" w:firstLineChars="0"/>
        <w:rPr>
          <w:rFonts w:ascii="宋体" w:hAnsi="宋体" w:cs="宋体"/>
          <w:color w:val="000000"/>
          <w:sz w:val="24"/>
          <w:u w:val="single"/>
        </w:rPr>
      </w:pPr>
    </w:p>
    <w:bookmarkEnd w:id="47"/>
    <w:bookmarkEnd w:id="48"/>
    <w:p>
      <w:pPr>
        <w:rPr>
          <w:rFonts w:ascii="宋体" w:hAnsi="宋体" w:cs="宋体"/>
          <w:b/>
          <w:sz w:val="24"/>
        </w:rPr>
      </w:pPr>
      <w:bookmarkStart w:id="49" w:name="_Toc819"/>
      <w:bookmarkStart w:id="50" w:name="_Toc32007"/>
      <w:r>
        <w:rPr>
          <w:rFonts w:hint="eastAsia" w:ascii="宋体" w:hAnsi="宋体" w:cs="宋体"/>
          <w:b/>
          <w:bCs/>
          <w:szCs w:val="21"/>
        </w:rPr>
        <w:t>*</w:t>
      </w:r>
      <w:r>
        <w:rPr>
          <w:rFonts w:hint="eastAsia" w:ascii="宋体" w:hAnsi="宋体" w:cs="宋体"/>
          <w:b/>
          <w:sz w:val="24"/>
        </w:rPr>
        <w:t>14. 投标保证金</w:t>
      </w:r>
      <w:bookmarkEnd w:id="49"/>
      <w:bookmarkEnd w:id="50"/>
    </w:p>
    <w:p>
      <w:pPr>
        <w:rPr>
          <w:rFonts w:ascii="宋体" w:hAnsi="宋体" w:cs="宋体"/>
          <w:sz w:val="24"/>
        </w:rPr>
      </w:pPr>
      <w:r>
        <w:rPr>
          <w:rFonts w:hint="eastAsia" w:ascii="宋体" w:hAnsi="宋体" w:cs="宋体"/>
          <w:sz w:val="24"/>
        </w:rPr>
        <w:t xml:space="preserve">14.1.投标人投标时应向招标人提交人民币 </w:t>
      </w:r>
      <w:r>
        <w:rPr>
          <w:rFonts w:hint="eastAsia" w:ascii="宋体" w:hAnsi="宋体" w:cs="宋体"/>
          <w:b/>
          <w:bCs/>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51" w:name="_Toc18240"/>
      <w:bookmarkStart w:id="52" w:name="_Toc8079"/>
      <w:r>
        <w:rPr>
          <w:rFonts w:hint="eastAsia" w:ascii="宋体" w:hAnsi="宋体" w:cs="宋体"/>
          <w:sz w:val="24"/>
        </w:rPr>
        <w:t>14.5.3. 投标人在投标过程中有违反有关法律法规行为的；</w:t>
      </w:r>
      <w:bookmarkEnd w:id="51"/>
      <w:bookmarkEnd w:id="52"/>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53" w:name="_Toc4586"/>
      <w:bookmarkStart w:id="54" w:name="_Toc19793"/>
      <w:r>
        <w:rPr>
          <w:rFonts w:hint="eastAsia" w:ascii="宋体" w:hAnsi="宋体" w:cs="宋体"/>
          <w:sz w:val="24"/>
        </w:rPr>
        <w:t>14.5.5. 中标人不按签订合同约定执行的；</w:t>
      </w:r>
      <w:bookmarkEnd w:id="53"/>
      <w:bookmarkEnd w:id="54"/>
    </w:p>
    <w:p>
      <w:pPr>
        <w:rPr>
          <w:rFonts w:ascii="宋体" w:hAnsi="宋体" w:cs="宋体"/>
          <w:sz w:val="24"/>
        </w:rPr>
      </w:pPr>
      <w:bookmarkStart w:id="55" w:name="_Toc10986"/>
      <w:bookmarkStart w:id="56" w:name="_Toc10924"/>
      <w:r>
        <w:rPr>
          <w:rFonts w:hint="eastAsia" w:ascii="宋体" w:hAnsi="宋体" w:cs="宋体"/>
          <w:b/>
          <w:bCs/>
          <w:szCs w:val="21"/>
        </w:rPr>
        <w:t>*</w:t>
      </w:r>
      <w:r>
        <w:rPr>
          <w:rFonts w:hint="eastAsia" w:ascii="宋体" w:hAnsi="宋体" w:cs="宋体"/>
          <w:sz w:val="24"/>
        </w:rPr>
        <w:t>15. 投标文件的有效期</w:t>
      </w:r>
      <w:bookmarkEnd w:id="55"/>
      <w:bookmarkEnd w:id="56"/>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57" w:name="_Toc31903"/>
      <w:bookmarkStart w:id="58" w:name="_Toc10916"/>
      <w:r>
        <w:rPr>
          <w:rFonts w:hint="eastAsia" w:ascii="宋体" w:hAnsi="宋体" w:cs="宋体"/>
          <w:b/>
          <w:bCs/>
          <w:szCs w:val="21"/>
        </w:rPr>
        <w:t>*</w:t>
      </w:r>
      <w:r>
        <w:rPr>
          <w:rFonts w:hint="eastAsia" w:ascii="宋体" w:hAnsi="宋体" w:cs="宋体"/>
          <w:b/>
          <w:sz w:val="24"/>
        </w:rPr>
        <w:t>16. 投标文件的签署及加密</w:t>
      </w:r>
      <w:bookmarkEnd w:id="57"/>
      <w:bookmarkEnd w:id="58"/>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9" w:name="_Toc23121"/>
      <w:bookmarkStart w:id="60" w:name="_Toc16079"/>
      <w:r>
        <w:rPr>
          <w:rFonts w:hint="eastAsia" w:ascii="宋体" w:hAnsi="宋体" w:cs="宋体"/>
          <w:sz w:val="24"/>
        </w:rPr>
        <w:t>E. 投标文件的递交</w:t>
      </w:r>
      <w:bookmarkEnd w:id="59"/>
      <w:bookmarkEnd w:id="60"/>
    </w:p>
    <w:p>
      <w:pPr>
        <w:rPr>
          <w:rFonts w:ascii="宋体" w:hAnsi="宋体" w:cs="宋体"/>
          <w:b/>
          <w:sz w:val="24"/>
        </w:rPr>
      </w:pPr>
      <w:bookmarkStart w:id="61" w:name="_Toc3580"/>
      <w:bookmarkStart w:id="62" w:name="_Toc29058"/>
      <w:r>
        <w:rPr>
          <w:rFonts w:hint="eastAsia" w:ascii="宋体" w:hAnsi="宋体" w:cs="宋体"/>
          <w:b/>
          <w:sz w:val="24"/>
        </w:rPr>
        <w:t>17. 投标截止时间</w:t>
      </w:r>
      <w:bookmarkEnd w:id="61"/>
      <w:bookmarkEnd w:id="62"/>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63" w:name="_Toc32039"/>
      <w:bookmarkStart w:id="64" w:name="_Toc18815"/>
      <w:r>
        <w:rPr>
          <w:rFonts w:hint="eastAsia" w:ascii="宋体" w:hAnsi="宋体" w:cs="宋体"/>
          <w:b/>
          <w:sz w:val="24"/>
        </w:rPr>
        <w:t>18. 投标文件的修改和撤回</w:t>
      </w:r>
      <w:bookmarkEnd w:id="63"/>
      <w:bookmarkEnd w:id="64"/>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 xml:space="preserve">21.2 参加开标的投标人代表应携带本人身份证明签名报到，以证明其出席开标会议。 </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sz w:val="24"/>
        </w:rPr>
      </w:pPr>
    </w:p>
    <w:p>
      <w:pPr>
        <w:rPr>
          <w:rFonts w:ascii="宋体" w:hAnsi="宋体" w:cs="宋体"/>
          <w:b/>
          <w:sz w:val="24"/>
        </w:rPr>
      </w:pPr>
      <w:bookmarkStart w:id="65" w:name="_Toc30916"/>
      <w:bookmarkStart w:id="66" w:name="_Toc2574"/>
      <w:r>
        <w:rPr>
          <w:rFonts w:hint="eastAsia" w:ascii="宋体" w:hAnsi="宋体" w:cs="宋体"/>
          <w:b/>
          <w:sz w:val="24"/>
        </w:rPr>
        <w:t>K、有关本招标文件的任何疑问，可函、电下列联系方式</w:t>
      </w:r>
      <w:bookmarkEnd w:id="65"/>
      <w:bookmarkEnd w:id="66"/>
    </w:p>
    <w:p>
      <w:pPr>
        <w:rPr>
          <w:rFonts w:ascii="宋体" w:hAnsi="宋体" w:cs="宋体"/>
          <w:b/>
          <w:sz w:val="24"/>
        </w:rPr>
      </w:pPr>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联系电话：010—89743388-8050</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人：于海英    手机18911237011   Email：</w:t>
      </w:r>
      <w:r>
        <w:fldChar w:fldCharType="begin"/>
      </w:r>
      <w:r>
        <w:instrText xml:space="preserve">HYPERLINK "mailto:yuhaiying@mgldl.com.cn" </w:instrText>
      </w:r>
      <w:r>
        <w:fldChar w:fldCharType="separate"/>
      </w:r>
      <w:r>
        <w:rPr>
          <w:rStyle w:val="25"/>
          <w:rFonts w:hint="eastAsia" w:ascii="宋体" w:hAnsi="宋体" w:cs="宋体"/>
          <w:b/>
          <w:sz w:val="24"/>
        </w:rPr>
        <w:t>yuhaiying@mgldl.com.cn</w:t>
      </w:r>
      <w:r>
        <w:fldChar w:fldCharType="end"/>
      </w:r>
      <w:r>
        <w:rPr>
          <w:rFonts w:hint="eastAsia" w:ascii="宋体" w:hAnsi="宋体" w:cs="宋体"/>
          <w:b/>
          <w:sz w:val="24"/>
        </w:rPr>
        <w:t xml:space="preserve">   </w:t>
      </w:r>
    </w:p>
    <w:p>
      <w:pPr>
        <w:rPr>
          <w:rFonts w:ascii="宋体" w:hAnsi="宋体" w:cs="宋体"/>
          <w:b/>
          <w:sz w:val="24"/>
        </w:rPr>
      </w:pPr>
      <w:r>
        <w:rPr>
          <w:rFonts w:hint="eastAsia" w:ascii="宋体" w:hAnsi="宋体" w:cs="宋体"/>
          <w:b/>
          <w:sz w:val="24"/>
        </w:rPr>
        <w:t>联 系 人：李  顺    手机 13821278165  Email：</w:t>
      </w:r>
      <w:r>
        <w:fldChar w:fldCharType="begin"/>
      </w:r>
      <w:r>
        <w:instrText xml:space="preserve">HYPERLINK "mailto:lishun@mgldl.com.cn" </w:instrText>
      </w:r>
      <w:r>
        <w:fldChar w:fldCharType="separate"/>
      </w:r>
      <w:r>
        <w:rPr>
          <w:rStyle w:val="25"/>
          <w:rFonts w:hint="eastAsia" w:ascii="宋体" w:hAnsi="宋体" w:cs="宋体"/>
          <w:b/>
          <w:sz w:val="24"/>
        </w:rPr>
        <w:t>lishun@mgldl.com.cn</w:t>
      </w:r>
      <w:r>
        <w:fldChar w:fldCharType="end"/>
      </w:r>
      <w:r>
        <w:rPr>
          <w:rFonts w:hint="eastAsia" w:ascii="宋体" w:hAnsi="宋体" w:cs="宋体"/>
          <w:b/>
          <w:sz w:val="24"/>
        </w:rPr>
        <w:t xml:space="preserve">   </w:t>
      </w: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bookmarkEnd w:id="4"/>
    <w:bookmarkEnd w:id="5"/>
    <w:bookmarkEnd w:id="6"/>
    <w:bookmarkEnd w:id="7"/>
    <w:bookmarkEnd w:id="8"/>
    <w:bookmarkEnd w:id="9"/>
    <w:p>
      <w:pPr>
        <w:overflowPunct w:val="0"/>
        <w:spacing w:line="360" w:lineRule="auto"/>
        <w:jc w:val="center"/>
        <w:outlineLvl w:val="0"/>
        <w:rPr>
          <w:rFonts w:ascii="宋体" w:hAnsi="宋体" w:cs="宋体"/>
          <w:b/>
          <w:sz w:val="32"/>
          <w:szCs w:val="32"/>
        </w:rPr>
      </w:pPr>
      <w:r>
        <w:rPr>
          <w:rFonts w:hint="eastAsia" w:ascii="宋体" w:hAnsi="宋体" w:cs="宋体"/>
          <w:b/>
          <w:sz w:val="32"/>
          <w:szCs w:val="32"/>
        </w:rPr>
        <w:t>招标说明</w:t>
      </w:r>
    </w:p>
    <w:p>
      <w:pPr>
        <w:pStyle w:val="28"/>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w:t>
      </w:r>
      <w:r>
        <w:rPr>
          <w:rFonts w:hint="eastAsia" w:ascii="宋体" w:hAnsi="宋体" w:cs="宋体"/>
          <w:b/>
          <w:sz w:val="24"/>
          <w:lang w:val="en-US" w:eastAsia="zh-CN"/>
        </w:rPr>
        <w:t>或</w:t>
      </w:r>
      <w:r>
        <w:rPr>
          <w:rFonts w:hint="eastAsia" w:ascii="宋体" w:hAnsi="宋体" w:cs="宋体"/>
          <w:b/>
          <w:sz w:val="24"/>
        </w:rPr>
        <w:t>副总以上人员到场参加。</w:t>
      </w:r>
    </w:p>
    <w:p>
      <w:pPr>
        <w:pStyle w:val="28"/>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28"/>
        <w:numPr>
          <w:ilvl w:val="0"/>
          <w:numId w:val="5"/>
        </w:numPr>
        <w:ind w:firstLineChars="0"/>
        <w:rPr>
          <w:rFonts w:ascii="宋体" w:hAnsi="宋体" w:cs="宋体"/>
          <w:b/>
          <w:sz w:val="24"/>
        </w:rPr>
      </w:pPr>
      <w:r>
        <w:rPr>
          <w:rFonts w:hint="eastAsia" w:ascii="宋体" w:hAnsi="宋体" w:cs="宋体"/>
          <w:b/>
          <w:sz w:val="24"/>
        </w:rPr>
        <w:t>付款方式月结90天，同等价格条件下账期长的优先考虑。</w:t>
      </w:r>
    </w:p>
    <w:p>
      <w:pPr>
        <w:pStyle w:val="28"/>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28"/>
        <w:numPr>
          <w:ilvl w:val="0"/>
          <w:numId w:val="5"/>
        </w:numPr>
        <w:ind w:firstLineChars="0"/>
        <w:rPr>
          <w:rFonts w:ascii="宋体" w:hAnsi="宋体" w:cs="宋体"/>
          <w:b/>
          <w:sz w:val="24"/>
        </w:rPr>
      </w:pPr>
      <w:r>
        <w:rPr>
          <w:rFonts w:hint="eastAsia" w:ascii="宋体" w:hAnsi="宋体" w:cs="宋体"/>
          <w:b/>
          <w:sz w:val="24"/>
        </w:rPr>
        <w:t>初次合作的新供方中标后，我司保证在6-7个月内完成测试和引入，引入后签订框架协议。</w:t>
      </w:r>
    </w:p>
    <w:p>
      <w:pPr>
        <w:pStyle w:val="28"/>
        <w:ind w:left="360" w:firstLine="0" w:firstLineChars="0"/>
        <w:rPr>
          <w:rFonts w:ascii="宋体" w:hAnsi="宋体" w:cs="宋体"/>
          <w:b/>
          <w:sz w:val="24"/>
        </w:rPr>
      </w:pPr>
    </w:p>
    <w:p>
      <w:pPr>
        <w:overflowPunct w:val="0"/>
        <w:spacing w:line="360" w:lineRule="auto"/>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rStyle w:val="34"/>
          <w:sz w:val="28"/>
          <w:szCs w:val="28"/>
        </w:rPr>
      </w:pPr>
      <w:r>
        <w:rPr>
          <w:rStyle w:val="34"/>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pStyle w:val="30"/>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1.投标函（附件1）</w:t>
      </w:r>
    </w:p>
    <w:p>
      <w:pPr>
        <w:pStyle w:val="30"/>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2.法定代表人授权委托书（附件2）</w:t>
      </w:r>
    </w:p>
    <w:p>
      <w:pPr>
        <w:pStyle w:val="30"/>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bookmarkEnd w:id="10"/>
    <w:bookmarkEnd w:id="11"/>
    <w:bookmarkEnd w:id="12"/>
    <w:p>
      <w:pPr>
        <w:overflowPunct w:val="0"/>
        <w:spacing w:line="360" w:lineRule="auto"/>
        <w:jc w:val="both"/>
        <w:outlineLvl w:val="0"/>
        <w:rPr>
          <w:rStyle w:val="34"/>
          <w:sz w:val="28"/>
          <w:szCs w:val="28"/>
        </w:rPr>
      </w:pPr>
      <w:bookmarkStart w:id="67" w:name="_Toc509411553"/>
      <w:bookmarkStart w:id="68" w:name="_Toc509413675"/>
      <w:bookmarkStart w:id="69" w:name="_Toc509411473"/>
    </w:p>
    <w:p>
      <w:pPr>
        <w:overflowPunct w:val="0"/>
        <w:spacing w:line="360" w:lineRule="auto"/>
        <w:jc w:val="center"/>
        <w:outlineLvl w:val="0"/>
        <w:rPr>
          <w:rStyle w:val="34"/>
          <w:sz w:val="28"/>
          <w:szCs w:val="28"/>
        </w:rPr>
      </w:pPr>
    </w:p>
    <w:p>
      <w:pPr>
        <w:overflowPunct w:val="0"/>
        <w:spacing w:line="360" w:lineRule="auto"/>
        <w:jc w:val="both"/>
        <w:outlineLvl w:val="0"/>
        <w:rPr>
          <w:rStyle w:val="34"/>
          <w:sz w:val="28"/>
          <w:szCs w:val="28"/>
        </w:rPr>
        <w:sectPr>
          <w:footerReference r:id="rId7" w:type="default"/>
          <w:pgSz w:w="11906" w:h="16838"/>
          <w:pgMar w:top="1440" w:right="1800" w:bottom="1440" w:left="1800" w:header="567" w:footer="567" w:gutter="0"/>
          <w:pgNumType w:fmt="numberInDash"/>
          <w:cols w:space="720" w:num="1"/>
          <w:docGrid w:type="lines" w:linePitch="383" w:charSpace="0"/>
        </w:sectPr>
      </w:pPr>
    </w:p>
    <w:tbl>
      <w:tblPr>
        <w:tblpPr w:leftFromText="180" w:rightFromText="180" w:vertAnchor="text" w:horzAnchor="page" w:tblpX="2061" w:tblpY="901"/>
        <w:tblOverlap w:val="never"/>
        <w:tblW w:w="129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780"/>
        <w:gridCol w:w="2900"/>
        <w:gridCol w:w="2680"/>
        <w:gridCol w:w="2680"/>
        <w:gridCol w:w="2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900" w:type="dxa"/>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PE（2+12+2）</w:t>
            </w:r>
          </w:p>
        </w:tc>
        <w:tc>
          <w:tcPr>
            <w:tcW w:w="2680" w:type="dxa"/>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PP（2+16+2）</w:t>
            </w:r>
          </w:p>
        </w:tc>
        <w:tc>
          <w:tcPr>
            <w:tcW w:w="2680" w:type="dxa"/>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PP高孔（2+20+2）</w:t>
            </w:r>
          </w:p>
        </w:tc>
        <w:tc>
          <w:tcPr>
            <w:tcW w:w="2920" w:type="dxa"/>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PE（12+4）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面密度</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12-16</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13-18</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14.5-18.5</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孔径</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30-50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25-40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25-45</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孔隙率</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40±4</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40±3</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48±3</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透气度</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170±50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280±70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270±70</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热缩（130 2h）</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MD≤3；TD≤2.5</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MD≤4；TD≤1</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MD≤2.5；TD≤1</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MD≤3；TD≤1.5（120℃/1h）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拉伸</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MD≥1100；TD≥900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MD≥900；TD≥90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MD≥900；TD≥60</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MD≥1100；TD≥900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针刺</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≥0.3</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≥0.2</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≥0.2</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1780"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90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1950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1200</w:t>
            </w:r>
          </w:p>
        </w:tc>
        <w:tc>
          <w:tcPr>
            <w:tcW w:w="268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80</w:t>
            </w:r>
          </w:p>
        </w:tc>
        <w:tc>
          <w:tcPr>
            <w:tcW w:w="2920"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900</w:t>
            </w:r>
          </w:p>
        </w:tc>
      </w:tr>
    </w:tbl>
    <w:p>
      <w:pPr>
        <w:widowControl/>
        <w:jc w:val="center"/>
        <w:rPr>
          <w:spacing w:val="4"/>
          <w:sz w:val="18"/>
        </w:rPr>
      </w:pPr>
      <w:r>
        <w:rPr>
          <w:rStyle w:val="34"/>
          <w:sz w:val="28"/>
          <w:szCs w:val="28"/>
        </w:rPr>
        <w:t>第</w:t>
      </w:r>
      <w:r>
        <w:rPr>
          <w:rStyle w:val="34"/>
          <w:rFonts w:hint="eastAsia"/>
          <w:sz w:val="28"/>
          <w:szCs w:val="28"/>
        </w:rPr>
        <w:t>三</w:t>
      </w:r>
      <w:r>
        <w:rPr>
          <w:rStyle w:val="34"/>
          <w:sz w:val="28"/>
          <w:szCs w:val="28"/>
        </w:rPr>
        <w:t>章</w:t>
      </w:r>
      <w:r>
        <w:rPr>
          <w:rStyle w:val="34"/>
          <w:rFonts w:hint="eastAsia"/>
          <w:sz w:val="28"/>
          <w:szCs w:val="28"/>
        </w:rPr>
        <w:t xml:space="preserve"> 招标技术要求</w:t>
      </w:r>
    </w:p>
    <w:p>
      <w:pPr>
        <w:overflowPunct w:val="0"/>
        <w:spacing w:line="360" w:lineRule="auto"/>
        <w:jc w:val="center"/>
        <w:outlineLvl w:val="0"/>
        <w:rPr>
          <w:rStyle w:val="34"/>
          <w:b w:val="0"/>
          <w:sz w:val="28"/>
          <w:szCs w:val="28"/>
        </w:rPr>
        <w:sectPr>
          <w:pgSz w:w="16838" w:h="11906" w:orient="landscape"/>
          <w:pgMar w:top="1800" w:right="1440" w:bottom="1800" w:left="1440" w:header="567" w:footer="567" w:gutter="0"/>
          <w:pgNumType w:fmt="numberInDash"/>
          <w:cols w:space="720" w:num="1"/>
          <w:docGrid w:type="lines" w:linePitch="383" w:charSpace="0"/>
        </w:sectPr>
      </w:pPr>
    </w:p>
    <w:p>
      <w:pPr>
        <w:overflowPunct w:val="0"/>
        <w:spacing w:line="360" w:lineRule="auto"/>
        <w:jc w:val="center"/>
        <w:outlineLvl w:val="0"/>
        <w:rPr>
          <w:rStyle w:val="34"/>
          <w:sz w:val="28"/>
          <w:szCs w:val="28"/>
        </w:rPr>
      </w:pPr>
      <w:r>
        <w:rPr>
          <w:rFonts w:ascii="Times New Roman" w:hAnsi="Times New Roman" w:eastAsia="宋体" w:cs="Times New Roman"/>
          <w:b/>
          <w:kern w:val="44"/>
          <w:sz w:val="28"/>
          <w:szCs w:val="28"/>
          <w:lang w:val="en-US" w:eastAsia="zh-CN" w:bidi="ar-SA"/>
        </w:rPr>
        <w:pict>
          <v:shape id="_x0000_i1025" o:spid="_x0000_s1026" type="#_x0000_t75" style="height:446.25pt;width:507.75pt;rotation:0f;" o:ole="f" fillcolor="#FFFFFF" filled="f" o:preferrelative="t" stroked="f" coordorigin="0,0" coordsize="21600,21600">
            <v:fill on="f" color2="#FFFFFF" focus="0%"/>
            <v:imagedata gain="65536f" blacklevel="0f" gamma="0" o:title="1bc70279452179ababa6059a1ba11cc" r:id="rId9"/>
            <o:lock v:ext="edit" position="f" selection="f" grouping="f" rotation="f" cropping="f" text="f" aspectratio="t"/>
            <w10:wrap type="none"/>
            <w10:anchorlock/>
          </v:shape>
        </w:pict>
      </w: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r>
        <w:rPr>
          <w:rFonts w:ascii="Times New Roman" w:hAnsi="Times New Roman" w:eastAsia="宋体" w:cs="Times New Roman"/>
          <w:b/>
          <w:kern w:val="44"/>
          <w:sz w:val="28"/>
          <w:szCs w:val="28"/>
          <w:lang w:val="en-US" w:eastAsia="zh-CN" w:bidi="ar-SA"/>
        </w:rPr>
        <w:pict>
          <v:shape id="_x0000_i1026" o:spid="_x0000_s1027" type="#_x0000_t75" style="height:438pt;width:487.5pt;rotation:0f;" o:ole="f" fillcolor="#FFFFFF" filled="f" o:preferrelative="t" stroked="f" coordorigin="0,0" coordsize="21600,21600">
            <v:fill on="f" color2="#FFFFFF" focus="0%"/>
            <v:imagedata gain="65536f" blacklevel="0f" gamma="0" o:title="1bc70279452179ababa6059a1ba11cc" r:id="rId9"/>
            <o:lock v:ext="edit" position="f" selection="f" grouping="f" rotation="f" cropping="f" text="f" aspectratio="t"/>
            <w10:wrap type="none"/>
            <w10:anchorlock/>
          </v:shape>
        </w:pict>
      </w:r>
    </w:p>
    <w:p>
      <w:pPr>
        <w:overflowPunct w:val="0"/>
        <w:spacing w:line="360" w:lineRule="auto"/>
        <w:jc w:val="center"/>
        <w:outlineLvl w:val="0"/>
        <w:rPr>
          <w:rStyle w:val="34"/>
          <w:sz w:val="28"/>
          <w:szCs w:val="28"/>
        </w:rPr>
      </w:pPr>
    </w:p>
    <w:p>
      <w:pPr>
        <w:overflowPunct w:val="0"/>
        <w:spacing w:line="360" w:lineRule="auto"/>
        <w:jc w:val="center"/>
        <w:outlineLvl w:val="0"/>
        <w:rPr>
          <w:rStyle w:val="34"/>
          <w:sz w:val="28"/>
          <w:szCs w:val="28"/>
        </w:rPr>
      </w:pPr>
    </w:p>
    <w:p>
      <w:pPr>
        <w:overflowPunct w:val="0"/>
        <w:spacing w:line="360" w:lineRule="auto"/>
        <w:outlineLvl w:val="0"/>
        <w:rPr>
          <w:rStyle w:val="34"/>
          <w:sz w:val="28"/>
          <w:szCs w:val="28"/>
        </w:rPr>
      </w:pPr>
      <w:r>
        <w:rPr>
          <w:rStyle w:val="34"/>
          <w:sz w:val="28"/>
          <w:szCs w:val="28"/>
        </w:rPr>
        <w:br w:type="page"/>
      </w:r>
    </w:p>
    <w:bookmarkEnd w:id="13"/>
    <w:bookmarkEnd w:id="14"/>
    <w:bookmarkEnd w:id="15"/>
    <w:bookmarkEnd w:id="16"/>
    <w:bookmarkEnd w:id="17"/>
    <w:bookmarkEnd w:id="67"/>
    <w:bookmarkEnd w:id="68"/>
    <w:bookmarkEnd w:id="69"/>
    <w:p>
      <w:pPr>
        <w:overflowPunct w:val="0"/>
        <w:spacing w:line="360" w:lineRule="auto"/>
        <w:jc w:val="center"/>
        <w:outlineLvl w:val="0"/>
        <w:rPr>
          <w:rStyle w:val="34"/>
          <w:sz w:val="28"/>
          <w:szCs w:val="28"/>
        </w:rPr>
      </w:pPr>
      <w:r>
        <w:rPr>
          <w:rStyle w:val="34"/>
          <w:rFonts w:hint="eastAsia"/>
          <w:sz w:val="28"/>
          <w:szCs w:val="28"/>
        </w:rPr>
        <w:t>第四章 合同条款要求</w:t>
      </w: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jc w:val="right"/>
        <w:rPr>
          <w:b/>
          <w:spacing w:val="4"/>
          <w:sz w:val="18"/>
          <w:szCs w:val="20"/>
        </w:rPr>
      </w:pPr>
      <w:r>
        <w:rPr>
          <w:rFonts w:hint="eastAsia" w:ascii="宋体" w:hAnsi="宋体"/>
          <w:spacing w:val="4"/>
          <w:szCs w:val="20"/>
        </w:rPr>
        <w:t>合同号：【</w:t>
      </w:r>
      <w:r>
        <w:rPr>
          <w:rFonts w:hint="eastAsia" w:ascii="宋体" w:hAnsi="宋体"/>
          <w:b/>
          <w:spacing w:val="4"/>
          <w:szCs w:val="20"/>
        </w:rPr>
        <w:t xml:space="preserve">        】     </w:t>
      </w:r>
    </w:p>
    <w:p>
      <w:pPr>
        <w:adjustRightInd w:val="0"/>
        <w:snapToGrid w:val="0"/>
        <w:spacing w:line="400" w:lineRule="exact"/>
        <w:ind w:left="210" w:leftChars="100"/>
        <w:rPr>
          <w:rFonts w:ascii="宋体" w:hAnsi="宋体"/>
          <w:b/>
          <w:szCs w:val="21"/>
        </w:rPr>
      </w:pPr>
      <w:r>
        <w:rPr>
          <w:rFonts w:hint="eastAsia" w:ascii="宋体" w:hAnsi="宋体"/>
          <w:b/>
          <w:szCs w:val="21"/>
        </w:rPr>
        <w:t>甲方：荣盛盟固利新能源科技有限公司</w:t>
      </w:r>
      <w:r>
        <w:rPr>
          <w:rFonts w:ascii="宋体" w:hAnsi="宋体"/>
          <w:b/>
          <w:szCs w:val="21"/>
        </w:rPr>
        <w:br/>
      </w:r>
      <w:r>
        <w:rPr>
          <w:rFonts w:hint="eastAsia" w:ascii="宋体" w:hAnsi="宋体"/>
          <w:b/>
          <w:szCs w:val="21"/>
        </w:rPr>
        <w:t>乙方：</w:t>
      </w:r>
      <w:r>
        <w:rPr>
          <w:rFonts w:ascii="宋体" w:hAnsi="宋体"/>
          <w:b/>
          <w:szCs w:val="21"/>
        </w:rPr>
        <w:t xml:space="preserve"> </w:t>
      </w:r>
    </w:p>
    <w:p>
      <w:pPr>
        <w:adjustRightInd w:val="0"/>
        <w:snapToGrid w:val="0"/>
        <w:spacing w:line="400" w:lineRule="exact"/>
        <w:ind w:firstLine="424" w:firstLineChars="202"/>
        <w:rPr>
          <w:rFonts w:ascii="宋体" w:hAnsi="宋体"/>
          <w:spacing w:val="4"/>
          <w:szCs w:val="21"/>
        </w:rPr>
      </w:pPr>
      <w:r>
        <w:rPr>
          <w:rFonts w:ascii="宋体" w:hAnsi="宋体"/>
          <w:szCs w:val="21"/>
        </w:rPr>
        <w:t>根据《中华人民共和国合同法》</w:t>
      </w:r>
      <w:r>
        <w:rPr>
          <w:rFonts w:hint="eastAsia" w:ascii="宋体" w:hAnsi="宋体"/>
          <w:szCs w:val="21"/>
        </w:rPr>
        <w:t>及</w:t>
      </w:r>
      <w:r>
        <w:rPr>
          <w:rFonts w:ascii="宋体" w:hAnsi="宋体"/>
          <w:szCs w:val="21"/>
        </w:rPr>
        <w:t>《中华人民共和国产品质量法》的有关规定，</w:t>
      </w:r>
      <w:r>
        <w:rPr>
          <w:rFonts w:hint="eastAsia" w:ascii="宋体" w:hAnsi="宋体"/>
          <w:szCs w:val="21"/>
        </w:rPr>
        <w:t>甲、乙</w:t>
      </w:r>
      <w:r>
        <w:rPr>
          <w:rFonts w:ascii="宋体" w:hAnsi="宋体"/>
          <w:szCs w:val="21"/>
        </w:rPr>
        <w:t>双方在平等自愿的基础上，就以下产品购销事宜达成如下一致协议</w:t>
      </w:r>
      <w:r>
        <w:rPr>
          <w:rFonts w:hint="eastAsia" w:ascii="宋体" w:hAnsi="宋体"/>
          <w:spacing w:val="4"/>
          <w:szCs w:val="21"/>
        </w:rPr>
        <w:t>：</w:t>
      </w:r>
    </w:p>
    <w:p>
      <w:pPr>
        <w:numPr>
          <w:ilvl w:val="0"/>
          <w:numId w:val="6"/>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总则：</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双方签订的《技术协议》、《质量协议》和采购订单是本合同不可分割的一部分。</w:t>
      </w:r>
    </w:p>
    <w:p>
      <w:pPr>
        <w:numPr>
          <w:ilvl w:val="0"/>
          <w:numId w:val="9"/>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产品名称、型号价格：</w:t>
      </w:r>
    </w:p>
    <w:tbl>
      <w:tblPr>
        <w:tblpPr w:leftFromText="180" w:rightFromText="180" w:vertAnchor="text" w:horzAnchor="margin" w:tblpXSpec="center" w:tblpY="666"/>
        <w:tblOverlap w:val="neve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809"/>
        <w:gridCol w:w="2338"/>
        <w:gridCol w:w="177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57" w:hRule="atLeast"/>
        </w:trPr>
        <w:tc>
          <w:tcPr>
            <w:tcW w:w="1809"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序号</w:t>
            </w:r>
          </w:p>
        </w:tc>
        <w:tc>
          <w:tcPr>
            <w:tcW w:w="2338"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名称</w:t>
            </w:r>
          </w:p>
        </w:tc>
        <w:tc>
          <w:tcPr>
            <w:tcW w:w="1773"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规格</w:t>
            </w:r>
          </w:p>
        </w:tc>
        <w:tc>
          <w:tcPr>
            <w:tcW w:w="1843"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价格（含13%税）/元</w:t>
            </w:r>
          </w:p>
        </w:tc>
        <w:tc>
          <w:tcPr>
            <w:tcW w:w="1843" w:type="dxa"/>
            <w:vAlign w:val="top"/>
          </w:tcPr>
          <w:p>
            <w:pPr>
              <w:spacing w:line="400" w:lineRule="exact"/>
              <w:rPr>
                <w:rFonts w:ascii="宋体" w:hAnsi="宋体" w:cs="宋体"/>
                <w:kern w:val="0"/>
                <w:szCs w:val="21"/>
              </w:rPr>
            </w:pPr>
            <w:r>
              <w:rPr>
                <w:rFonts w:hint="eastAsia" w:ascii="宋体" w:hAnsi="宋体" w:cs="宋体"/>
                <w:kern w:val="0"/>
                <w:szCs w:val="21"/>
              </w:rPr>
              <w:t xml:space="preserve">  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809" w:type="dxa"/>
            <w:vAlign w:val="top"/>
          </w:tcPr>
          <w:p>
            <w:pPr>
              <w:spacing w:line="400" w:lineRule="exact"/>
              <w:jc w:val="center"/>
              <w:rPr>
                <w:rFonts w:ascii="宋体" w:hAnsi="宋体" w:cs="宋体"/>
                <w:szCs w:val="21"/>
              </w:rPr>
            </w:pPr>
            <w:r>
              <w:rPr>
                <w:rFonts w:hint="eastAsia" w:ascii="宋体" w:hAnsi="宋体" w:cs="宋体"/>
                <w:szCs w:val="21"/>
              </w:rPr>
              <w:t>1</w:t>
            </w:r>
          </w:p>
        </w:tc>
        <w:tc>
          <w:tcPr>
            <w:tcW w:w="2338" w:type="dxa"/>
            <w:vAlign w:val="top"/>
          </w:tcPr>
          <w:p>
            <w:pPr>
              <w:spacing w:line="400" w:lineRule="exact"/>
              <w:jc w:val="center"/>
              <w:rPr>
                <w:rFonts w:ascii="宋体" w:hAnsi="宋体" w:cs="宋体"/>
                <w:szCs w:val="21"/>
              </w:rPr>
            </w:pPr>
          </w:p>
        </w:tc>
        <w:tc>
          <w:tcPr>
            <w:tcW w:w="1773" w:type="dxa"/>
            <w:vAlign w:val="top"/>
          </w:tcPr>
          <w:p>
            <w:pPr>
              <w:spacing w:line="400" w:lineRule="exact"/>
              <w:jc w:val="center"/>
              <w:rPr>
                <w:rFonts w:ascii="宋体" w:hAnsi="宋体" w:cs="宋体"/>
                <w:szCs w:val="21"/>
              </w:rPr>
            </w:pPr>
          </w:p>
        </w:tc>
        <w:tc>
          <w:tcPr>
            <w:tcW w:w="1843" w:type="dxa"/>
            <w:vAlign w:val="top"/>
          </w:tcPr>
          <w:p>
            <w:pPr>
              <w:spacing w:line="400" w:lineRule="exact"/>
              <w:jc w:val="center"/>
              <w:rPr>
                <w:rFonts w:ascii="宋体" w:hAnsi="宋体" w:cs="宋体"/>
                <w:szCs w:val="21"/>
              </w:rPr>
            </w:pPr>
          </w:p>
        </w:tc>
        <w:tc>
          <w:tcPr>
            <w:tcW w:w="1843" w:type="dxa"/>
            <w:vAlign w:val="top"/>
          </w:tcPr>
          <w:p>
            <w:pPr>
              <w:autoSpaceDN w:val="0"/>
              <w:spacing w:line="400" w:lineRule="exact"/>
              <w:ind w:left="390"/>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809" w:type="dxa"/>
            <w:vAlign w:val="top"/>
          </w:tcPr>
          <w:p>
            <w:pPr>
              <w:spacing w:line="400" w:lineRule="exact"/>
              <w:jc w:val="center"/>
              <w:rPr>
                <w:rFonts w:ascii="宋体" w:hAnsi="宋体" w:cs="宋体"/>
                <w:szCs w:val="21"/>
              </w:rPr>
            </w:pPr>
            <w:r>
              <w:rPr>
                <w:rFonts w:hint="eastAsia" w:ascii="宋体" w:hAnsi="宋体" w:cs="宋体"/>
                <w:szCs w:val="21"/>
              </w:rPr>
              <w:t>2</w:t>
            </w:r>
          </w:p>
        </w:tc>
        <w:tc>
          <w:tcPr>
            <w:tcW w:w="2338" w:type="dxa"/>
            <w:vAlign w:val="top"/>
          </w:tcPr>
          <w:p>
            <w:pPr>
              <w:spacing w:line="400" w:lineRule="exact"/>
              <w:jc w:val="center"/>
              <w:rPr>
                <w:rFonts w:ascii="宋体" w:hAnsi="宋体" w:cs="宋体"/>
                <w:szCs w:val="21"/>
              </w:rPr>
            </w:pPr>
          </w:p>
        </w:tc>
        <w:tc>
          <w:tcPr>
            <w:tcW w:w="1773" w:type="dxa"/>
            <w:vAlign w:val="top"/>
          </w:tcPr>
          <w:p>
            <w:pPr>
              <w:spacing w:line="400" w:lineRule="exact"/>
              <w:jc w:val="center"/>
              <w:rPr>
                <w:rFonts w:ascii="宋体" w:hAnsi="宋体" w:cs="宋体"/>
                <w:szCs w:val="21"/>
              </w:rPr>
            </w:pPr>
          </w:p>
        </w:tc>
        <w:tc>
          <w:tcPr>
            <w:tcW w:w="1843" w:type="dxa"/>
            <w:vAlign w:val="top"/>
          </w:tcPr>
          <w:p>
            <w:pPr>
              <w:spacing w:line="400" w:lineRule="exact"/>
              <w:jc w:val="center"/>
              <w:rPr>
                <w:rFonts w:ascii="宋体" w:hAnsi="宋体" w:cs="宋体"/>
                <w:szCs w:val="21"/>
              </w:rPr>
            </w:pPr>
          </w:p>
        </w:tc>
        <w:tc>
          <w:tcPr>
            <w:tcW w:w="1843" w:type="dxa"/>
            <w:vAlign w:val="top"/>
          </w:tcPr>
          <w:p>
            <w:pPr>
              <w:autoSpaceDN w:val="0"/>
              <w:spacing w:line="400" w:lineRule="exact"/>
              <w:ind w:left="390"/>
              <w:jc w:val="center"/>
              <w:textAlignment w:val="center"/>
              <w:rPr>
                <w:rFonts w:ascii="宋体" w:hAnsi="宋体" w:cs="宋体"/>
                <w:szCs w:val="21"/>
              </w:rPr>
            </w:pPr>
          </w:p>
        </w:tc>
      </w:tr>
    </w:tbl>
    <w:p>
      <w:pPr>
        <w:adjustRightInd w:val="0"/>
        <w:snapToGrid w:val="0"/>
        <w:spacing w:line="400" w:lineRule="exact"/>
        <w:ind w:left="441" w:leftChars="210"/>
        <w:rPr>
          <w:rFonts w:ascii="宋体" w:hAnsi="宋体"/>
          <w:b/>
          <w:bCs/>
          <w:spacing w:val="4"/>
          <w:szCs w:val="21"/>
        </w:rPr>
      </w:pPr>
      <w:r>
        <w:rPr>
          <w:rFonts w:hint="eastAsia" w:ascii="宋体" w:hAnsi="宋体"/>
          <w:b/>
          <w:bCs/>
          <w:spacing w:val="4"/>
          <w:szCs w:val="21"/>
        </w:rPr>
        <w:t>2.1 供货明细表（到厂价，含13%增值税）</w:t>
      </w:r>
    </w:p>
    <w:p>
      <w:pPr>
        <w:spacing w:line="400" w:lineRule="exact"/>
        <w:rPr>
          <w:rFonts w:hint="eastAsia" w:ascii="宋体" w:hAnsi="宋体"/>
          <w:b/>
          <w:bCs/>
          <w:szCs w:val="21"/>
        </w:rPr>
      </w:pPr>
    </w:p>
    <w:p>
      <w:pPr>
        <w:spacing w:line="400" w:lineRule="exact"/>
        <w:ind w:firstLine="422" w:firstLineChars="200"/>
        <w:rPr>
          <w:rFonts w:ascii="宋体" w:hAnsi="宋体"/>
          <w:b/>
          <w:bCs/>
          <w:szCs w:val="21"/>
        </w:rPr>
      </w:pPr>
      <w:r>
        <w:rPr>
          <w:rFonts w:hint="eastAsia" w:ascii="宋体" w:hAnsi="宋体"/>
          <w:b/>
          <w:bCs/>
          <w:szCs w:val="21"/>
        </w:rPr>
        <w:t>备注：备注：月供应量:乙方可供给甲方的每月产品用量而非乙方的产能。</w:t>
      </w:r>
    </w:p>
    <w:p>
      <w:pPr>
        <w:spacing w:line="400" w:lineRule="exact"/>
        <w:ind w:firstLine="422" w:firstLineChars="200"/>
        <w:rPr>
          <w:rFonts w:ascii="宋体" w:hAnsi="宋体"/>
          <w:szCs w:val="21"/>
        </w:rPr>
      </w:pPr>
      <w:r>
        <w:rPr>
          <w:rFonts w:hint="eastAsia" w:ascii="宋体" w:hAnsi="宋体"/>
          <w:b/>
          <w:bCs/>
          <w:szCs w:val="21"/>
        </w:rPr>
        <w:t>2.2</w:t>
      </w:r>
      <w:r>
        <w:rPr>
          <w:rFonts w:hint="eastAsia" w:ascii="宋体" w:hAnsi="宋体"/>
          <w:szCs w:val="21"/>
        </w:rPr>
        <w:t>本协议为固定单价合同，甲方按照实际需求向乙方发出采购订单，乙方确保在采购订单规定的时间内送达货物至甲方指定库房或者指定收货人。</w:t>
      </w:r>
    </w:p>
    <w:p>
      <w:pPr>
        <w:spacing w:line="400" w:lineRule="exact"/>
        <w:ind w:firstLine="420" w:firstLineChars="200"/>
        <w:rPr>
          <w:rFonts w:ascii="宋体" w:hAnsi="宋体"/>
          <w:szCs w:val="21"/>
        </w:rPr>
      </w:pPr>
      <w:r>
        <w:rPr>
          <w:rFonts w:hint="eastAsia" w:ascii="宋体" w:hAnsi="宋体"/>
          <w:szCs w:val="21"/>
        </w:rPr>
        <w:t>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3.1甲方根据需求向乙方发出采购订单，并在采购订单上注明所需货物的品名、规格型号、数量、币种、价格、交货期限和交货地点等。</w:t>
      </w:r>
      <w:bookmarkStart w:id="70" w:name="_Hlk508969622"/>
      <w:r>
        <w:rPr>
          <w:rFonts w:hint="eastAsia" w:ascii="宋体" w:hAnsi="宋体"/>
          <w:szCs w:val="21"/>
        </w:rPr>
        <w:t>采购订单为本协议的有效组成部分，受本协议条款的约束。</w:t>
      </w:r>
      <w:bookmarkEnd w:id="70"/>
    </w:p>
    <w:p>
      <w:pPr>
        <w:spacing w:line="400" w:lineRule="exact"/>
        <w:ind w:firstLine="420" w:firstLineChars="200"/>
        <w:rPr>
          <w:rFonts w:ascii="宋体" w:hAnsi="宋体"/>
          <w:szCs w:val="21"/>
        </w:rPr>
      </w:pPr>
      <w:r>
        <w:rPr>
          <w:rFonts w:hint="eastAsia" w:ascii="宋体" w:hAnsi="宋体"/>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 xml:space="preserve">3.4因乙方产品出现质量问题且此问题在短时间内无法解决，甲方可考虑取消向乙方发出的有关该产品的采购订单。待乙方将货物质量问题解决后，再下新采购订单。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spacing w:line="400" w:lineRule="exact"/>
        <w:ind w:firstLine="420" w:firstLineChars="200"/>
        <w:rPr>
          <w:rFonts w:ascii="宋体" w:hAnsi="宋体"/>
          <w:szCs w:val="21"/>
        </w:rPr>
      </w:pPr>
      <w:r>
        <w:rPr>
          <w:rFonts w:hint="eastAsia" w:ascii="宋体" w:hAnsi="宋体"/>
          <w:szCs w:val="21"/>
        </w:rPr>
        <w:t>5.1月结【90】天，支付方式为：银行承兑汇票或电汇。</w:t>
      </w:r>
    </w:p>
    <w:p>
      <w:pPr>
        <w:spacing w:line="400" w:lineRule="exact"/>
        <w:ind w:firstLine="420" w:firstLineChars="200"/>
        <w:rPr>
          <w:rFonts w:ascii="宋体" w:hAnsi="宋体"/>
          <w:szCs w:val="21"/>
        </w:rPr>
      </w:pPr>
      <w:r>
        <w:rPr>
          <w:rFonts w:hint="eastAsia" w:ascii="宋体" w:hAnsi="宋体"/>
          <w:szCs w:val="21"/>
        </w:rPr>
        <w:t>5.2乙方需在发货时提供相应金额的增值税发票给甲方。</w:t>
      </w:r>
    </w:p>
    <w:p>
      <w:pPr>
        <w:spacing w:line="400" w:lineRule="exact"/>
        <w:ind w:firstLine="420" w:firstLineChars="200"/>
        <w:rPr>
          <w:rFonts w:ascii="宋体" w:hAnsi="宋体"/>
          <w:szCs w:val="21"/>
        </w:rPr>
      </w:pPr>
      <w:r>
        <w:rPr>
          <w:rFonts w:hint="eastAsia" w:ascii="宋体" w:hAnsi="宋体"/>
          <w:szCs w:val="21"/>
        </w:rPr>
        <w:t>5.3除非双方另有协议，订单中规定价款金额是甲方向乙方支付的唯一金额。</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交货时间：交货周期（包括运输时间）为【</w:t>
      </w:r>
      <w:r>
        <w:rPr>
          <w:rFonts w:ascii="宋体" w:hAnsi="宋体"/>
          <w:szCs w:val="21"/>
        </w:rPr>
        <w:t>10</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2" w:firstLineChars="200"/>
        <w:rPr>
          <w:rFonts w:ascii="宋体" w:hAnsi="宋体"/>
          <w:b/>
          <w:szCs w:val="21"/>
          <w:u w:val="single"/>
        </w:rPr>
      </w:pPr>
      <w:r>
        <w:rPr>
          <w:rFonts w:hint="eastAsia" w:ascii="宋体" w:hAnsi="宋体"/>
          <w:b/>
          <w:szCs w:val="21"/>
          <w:u w:val="single"/>
        </w:rPr>
        <w:t>5.2.4 甲方有权</w:t>
      </w:r>
      <w:r>
        <w:rPr>
          <w:rFonts w:ascii="宋体" w:hAnsi="宋体"/>
          <w:b/>
          <w:szCs w:val="21"/>
          <w:u w:val="single"/>
        </w:rPr>
        <w:t>根据</w:t>
      </w:r>
      <w:r>
        <w:rPr>
          <w:rFonts w:hint="eastAsia" w:ascii="宋体" w:hAnsi="宋体"/>
          <w:b/>
          <w:szCs w:val="21"/>
          <w:u w:val="single"/>
        </w:rPr>
        <w:t>实际</w:t>
      </w:r>
      <w:r>
        <w:rPr>
          <w:rFonts w:ascii="宋体" w:hAnsi="宋体"/>
          <w:b/>
          <w:szCs w:val="21"/>
          <w:u w:val="single"/>
        </w:rPr>
        <w:t>需求更改</w:t>
      </w:r>
      <w:r>
        <w:rPr>
          <w:rFonts w:hint="eastAsia" w:ascii="宋体" w:hAnsi="宋体"/>
          <w:b/>
          <w:szCs w:val="21"/>
          <w:u w:val="single"/>
        </w:rPr>
        <w:t>产品</w:t>
      </w:r>
      <w:r>
        <w:rPr>
          <w:rFonts w:ascii="宋体" w:hAnsi="宋体"/>
          <w:b/>
          <w:szCs w:val="21"/>
          <w:u w:val="single"/>
        </w:rPr>
        <w:t>包装要求，</w:t>
      </w:r>
      <w:r>
        <w:rPr>
          <w:rFonts w:hint="eastAsia" w:ascii="宋体" w:hAnsi="宋体"/>
          <w:b/>
          <w:szCs w:val="21"/>
          <w:u w:val="single"/>
        </w:rPr>
        <w:t>乙方</w:t>
      </w:r>
      <w:r>
        <w:rPr>
          <w:rFonts w:ascii="宋体" w:hAnsi="宋体"/>
          <w:b/>
          <w:szCs w:val="21"/>
          <w:u w:val="single"/>
        </w:rPr>
        <w:t>不得以甲方包装要求变更</w:t>
      </w:r>
      <w:r>
        <w:rPr>
          <w:rFonts w:hint="eastAsia" w:ascii="宋体" w:hAnsi="宋体"/>
          <w:b/>
          <w:szCs w:val="21"/>
          <w:u w:val="single"/>
        </w:rPr>
        <w:t>为由要求</w:t>
      </w:r>
      <w:r>
        <w:rPr>
          <w:rFonts w:ascii="宋体" w:hAnsi="宋体"/>
          <w:b/>
          <w:szCs w:val="21"/>
          <w:u w:val="single"/>
        </w:rPr>
        <w:t>调整产品价格。</w:t>
      </w:r>
    </w:p>
    <w:p>
      <w:pPr>
        <w:spacing w:line="400" w:lineRule="exact"/>
        <w:ind w:firstLine="420" w:firstLineChars="200"/>
        <w:rPr>
          <w:rFonts w:ascii="宋体" w:hAnsi="宋体"/>
          <w:szCs w:val="21"/>
        </w:rPr>
      </w:pP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7运输费用、保险费用、符合运输条件的特定包装费用以及其他相关费用由乙方承担。在运输过程中发生货物的毁损、失火等风险均由乙方承担。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.1按照甲方要求的标准包装执行。由于包装不善所引起的货物锈蚀、损坏和损失等均由乙方承担。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.1乙方对其所供产品提供自到货且经甲方验收合格并签署验收单之日起【</w:t>
      </w:r>
      <w:r>
        <w:rPr>
          <w:rFonts w:ascii="宋体" w:hAnsi="宋体"/>
          <w:szCs w:val="21"/>
        </w:rPr>
        <w:t>96</w:t>
      </w:r>
      <w:r>
        <w:rPr>
          <w:rFonts w:hint="eastAsia" w:ascii="宋体" w:hAnsi="宋体"/>
          <w:szCs w:val="21"/>
        </w:rPr>
        <w:t xml:space="preserve">】个月的品质保障； </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.2质保期内，出现产品质量问题，甲方提供退货原因说明及数量统计，经双方确认系属产品质量问题的，乙方给予免费退换并承担因退换货产生的运费。</w:t>
      </w:r>
    </w:p>
    <w:p>
      <w:pPr>
        <w:adjustRightInd w:val="0"/>
        <w:snapToGrid w:val="0"/>
        <w:spacing w:line="400" w:lineRule="exact"/>
        <w:rPr>
          <w:rFonts w:ascii="宋体" w:hAnsi="宋体"/>
          <w:b/>
          <w:bCs/>
          <w:spacing w:val="4"/>
          <w:szCs w:val="21"/>
        </w:rPr>
      </w:pPr>
      <w:r>
        <w:rPr>
          <w:rFonts w:ascii="宋体" w:hAnsi="宋体"/>
          <w:b/>
          <w:bCs/>
          <w:spacing w:val="4"/>
          <w:szCs w:val="21"/>
        </w:rPr>
        <w:t>11</w:t>
      </w:r>
      <w:r>
        <w:rPr>
          <w:rFonts w:hint="eastAsia" w:ascii="宋体" w:hAnsi="宋体"/>
          <w:b/>
          <w:bCs/>
          <w:spacing w:val="4"/>
          <w:szCs w:val="21"/>
        </w:rPr>
        <w:t>、违约责任</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如乙方拒绝采购订单或交货，逾期应按照被拒绝订单载明的总金额的30%向甲方支付违约金；</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 xml:space="preserve">1.3 </w:t>
      </w:r>
      <w:r>
        <w:rPr>
          <w:rFonts w:hint="eastAsia" w:ascii="宋体" w:hAnsi="宋体"/>
          <w:szCs w:val="21"/>
        </w:rPr>
        <w:t>乙方交付加工件的品质、性能、技术标准、质量要求不符合本协议</w:t>
      </w:r>
      <w:r>
        <w:rPr>
          <w:rFonts w:ascii="宋体" w:hAnsi="宋体"/>
          <w:szCs w:val="21"/>
        </w:rPr>
        <w:t>第</w:t>
      </w:r>
      <w:r>
        <w:rPr>
          <w:rFonts w:hint="eastAsia" w:ascii="宋体" w:hAnsi="宋体"/>
          <w:szCs w:val="21"/>
        </w:rPr>
        <w:t>8条</w:t>
      </w:r>
      <w:r>
        <w:rPr>
          <w:rFonts w:ascii="宋体" w:hAnsi="宋体"/>
          <w:szCs w:val="21"/>
        </w:rPr>
        <w:t>要求</w:t>
      </w:r>
      <w:r>
        <w:rPr>
          <w:rFonts w:hint="eastAsia" w:ascii="宋体" w:hAnsi="宋体"/>
          <w:szCs w:val="21"/>
        </w:rPr>
        <w:t>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w:t>
      </w:r>
      <w:r>
        <w:rPr>
          <w:rFonts w:ascii="宋体" w:hAnsi="宋体"/>
          <w:szCs w:val="21"/>
        </w:rPr>
        <w:t>订单</w:t>
      </w:r>
      <w:r>
        <w:rPr>
          <w:rFonts w:hint="eastAsia" w:ascii="宋体" w:hAnsi="宋体"/>
          <w:szCs w:val="21"/>
        </w:rPr>
        <w:t>总价款的30%向甲方支付违约金。</w:t>
      </w:r>
      <w:r>
        <w:rPr>
          <w:rFonts w:ascii="宋体" w:hAnsi="宋体"/>
          <w:szCs w:val="21"/>
        </w:rPr>
        <w:t>11</w:t>
      </w:r>
      <w:r>
        <w:rPr>
          <w:rFonts w:hint="eastAsia" w:ascii="宋体" w:hAnsi="宋体"/>
          <w:szCs w:val="21"/>
        </w:rPr>
        <w:t>.4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 xml:space="preserve">.5 </w:t>
      </w:r>
      <w:r>
        <w:rPr>
          <w:rFonts w:ascii="宋体" w:hAnsi="宋体"/>
          <w:szCs w:val="21"/>
        </w:rPr>
        <w:t>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w:t>
      </w:r>
      <w:r>
        <w:rPr>
          <w:rFonts w:hint="eastAsia" w:ascii="宋体" w:hAnsi="宋体"/>
          <w:szCs w:val="21"/>
        </w:rPr>
        <w:t>采购订单</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.9 乙方出现违约行为，如违约金不足以弥补甲方损失的，甲方有权另行追偿。甲方有权从采购订单款项中直接扣除乙方违约费用，并对不足部分进行追偿。</w:t>
      </w:r>
    </w:p>
    <w:p>
      <w:pPr>
        <w:adjustRightInd w:val="0"/>
        <w:snapToGrid w:val="0"/>
        <w:spacing w:line="400" w:lineRule="exact"/>
        <w:ind w:firstLine="438"/>
        <w:rPr>
          <w:rFonts w:ascii="宋体" w:hAnsi="宋体"/>
          <w:szCs w:val="21"/>
        </w:rPr>
      </w:pPr>
      <w:r>
        <w:rPr>
          <w:rFonts w:hint="eastAsia" w:ascii="宋体" w:hAnsi="宋体"/>
          <w:b/>
          <w:bCs/>
          <w:spacing w:val="4"/>
          <w:szCs w:val="21"/>
        </w:rPr>
        <w:t>11.10</w:t>
      </w:r>
      <w:r>
        <w:rPr>
          <w:rFonts w:hint="eastAsia" w:ascii="宋体" w:hAnsi="宋体"/>
          <w:szCs w:val="21"/>
        </w:rPr>
        <w:t xml:space="preserve">如发生以上的情形，甲方可同时要求对乙方的工厂和生产情况进行审核，乙方应积极配合。 </w:t>
      </w:r>
    </w:p>
    <w:p>
      <w:pPr>
        <w:adjustRightInd w:val="0"/>
        <w:snapToGrid w:val="0"/>
        <w:spacing w:line="400" w:lineRule="exact"/>
        <w:rPr>
          <w:rFonts w:ascii="宋体" w:hAnsi="宋体"/>
          <w:szCs w:val="21"/>
        </w:rPr>
      </w:pPr>
      <w:r>
        <w:rPr>
          <w:rFonts w:hint="eastAsia" w:ascii="宋体" w:hAnsi="宋体"/>
          <w:szCs w:val="21"/>
        </w:rPr>
        <w:t xml:space="preserve">11.11若乙方提供不合格货物，甲方有权对乙方采取罚款等惩罚措施。 </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2、其它</w:t>
      </w:r>
    </w:p>
    <w:p>
      <w:pPr>
        <w:adjustRightInd w:val="0"/>
        <w:snapToGrid w:val="0"/>
        <w:spacing w:line="400" w:lineRule="exact"/>
        <w:ind w:firstLine="420" w:firstLineChars="200"/>
        <w:rPr>
          <w:rFonts w:ascii="宋体" w:hAnsi="宋体"/>
          <w:szCs w:val="21"/>
        </w:rPr>
      </w:pPr>
      <w:r>
        <w:rPr>
          <w:rFonts w:hint="eastAsia" w:ascii="宋体" w:hAnsi="宋体"/>
          <w:szCs w:val="21"/>
        </w:rPr>
        <w:t>12.1以上产品单价均为含13%增值税的价格。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ascii="宋体" w:hAnsi="宋体"/>
          <w:color w:val="FF0000"/>
          <w:szCs w:val="21"/>
        </w:rPr>
      </w:pPr>
      <w:r>
        <w:rPr>
          <w:rFonts w:hint="eastAsia" w:ascii="宋体" w:hAnsi="宋体"/>
          <w:color w:val="FF0000"/>
          <w:szCs w:val="21"/>
        </w:rPr>
        <w:t>12.3 本协议对甲方及甲方所属子公司（天津荣盛盟固利新能源科技有限公司）均有效。</w:t>
      </w:r>
    </w:p>
    <w:p>
      <w:pPr>
        <w:adjustRightInd w:val="0"/>
        <w:snapToGrid w:val="0"/>
        <w:spacing w:line="400" w:lineRule="exact"/>
        <w:ind w:firstLine="420" w:firstLineChars="200"/>
        <w:rPr>
          <w:rFonts w:ascii="宋体" w:hAnsi="宋体"/>
          <w:szCs w:val="21"/>
        </w:rPr>
      </w:pPr>
      <w:r>
        <w:rPr>
          <w:rFonts w:hint="eastAsia" w:ascii="宋体" w:hAnsi="宋体"/>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ascii="宋体" w:hAnsi="宋体"/>
          <w:szCs w:val="21"/>
        </w:rPr>
      </w:pPr>
      <w:r>
        <w:rPr>
          <w:rFonts w:hint="eastAsia" w:ascii="宋体" w:hAnsi="宋体"/>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rPr>
          <w:rFonts w:ascii="宋体" w:hAnsi="宋体"/>
          <w:szCs w:val="21"/>
        </w:rPr>
      </w:pPr>
    </w:p>
    <w:tbl>
      <w:tblPr>
        <w:tblpPr w:leftFromText="180" w:rightFromText="180" w:vertAnchor="text" w:horzAnchor="margin" w:tblpXSpec="left" w:tblpY="64"/>
        <w:tblW w:w="9464"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荣盛盟固利新能源科技有限公司</w:t>
            </w:r>
          </w:p>
        </w:tc>
        <w:tc>
          <w:tcPr>
            <w:tcW w:w="4542" w:type="dxa"/>
            <w:vAlign w:val="center"/>
          </w:tcPr>
          <w:p>
            <w:pPr>
              <w:adjustRightInd w:val="0"/>
              <w:snapToGrid w:val="0"/>
              <w:spacing w:line="400" w:lineRule="exact"/>
              <w:jc w:val="center"/>
              <w:rPr>
                <w:rFonts w:ascii="宋体" w:hAnsi="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szCs w:val="21"/>
              </w:rPr>
            </w:pP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年  月  日</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北京市昌平区白浮泉路18号</w:t>
            </w:r>
          </w:p>
        </w:tc>
        <w:tc>
          <w:tcPr>
            <w:tcW w:w="4542" w:type="dxa"/>
            <w:vAlign w:val="center"/>
          </w:tcPr>
          <w:p>
            <w:pPr>
              <w:spacing w:after="120"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102200</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010-89743388</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010-89747404</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工行昌平支行营业部</w:t>
            </w:r>
          </w:p>
        </w:tc>
        <w:tc>
          <w:tcPr>
            <w:tcW w:w="4542" w:type="dxa"/>
            <w:vAlign w:val="center"/>
          </w:tcPr>
          <w:p>
            <w:pPr>
              <w:spacing w:line="400" w:lineRule="exact"/>
              <w:ind w:firstLine="1526" w:firstLineChars="700"/>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0200048909200013866</w:t>
            </w:r>
          </w:p>
        </w:tc>
        <w:tc>
          <w:tcPr>
            <w:tcW w:w="4542" w:type="dxa"/>
            <w:tcBorders>
              <w:bottom w:val="thinThickSmallGap" w:color="auto" w:sz="24" w:space="0"/>
            </w:tcBorders>
            <w:vAlign w:val="center"/>
          </w:tcPr>
          <w:p>
            <w:pPr>
              <w:spacing w:line="400" w:lineRule="exact"/>
              <w:ind w:firstLine="1635" w:firstLineChars="750"/>
              <w:rPr>
                <w:rFonts w:ascii="宋体" w:hAnsi="宋体"/>
                <w:spacing w:val="4"/>
                <w:szCs w:val="21"/>
              </w:rPr>
            </w:pPr>
          </w:p>
        </w:tc>
      </w:tr>
    </w:tbl>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overflowPunct w:val="0"/>
        <w:spacing w:line="360" w:lineRule="auto"/>
        <w:jc w:val="center"/>
        <w:outlineLvl w:val="0"/>
        <w:rPr>
          <w:rStyle w:val="34"/>
          <w:sz w:val="28"/>
          <w:szCs w:val="28"/>
        </w:rPr>
      </w:pPr>
      <w:r>
        <w:rPr>
          <w:rStyle w:val="34"/>
          <w:rFonts w:hint="eastAsia"/>
          <w:sz w:val="28"/>
          <w:szCs w:val="28"/>
        </w:rPr>
        <w:t>第五章 供应商质量基本要求</w:t>
      </w:r>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r>
        <w:rPr>
          <w:rFonts w:hint="eastAsia" w:ascii="宋体" w:hAnsi="宋体" w:cs="宋体"/>
          <w:color w:val="FF0000"/>
          <w:kern w:val="0"/>
          <w:szCs w:val="21"/>
        </w:rPr>
        <w:t>（具体条款要求见附件9）</w:t>
      </w:r>
    </w:p>
    <w:p/>
    <w:p>
      <w:pPr>
        <w:overflowPunct w:val="0"/>
        <w:spacing w:line="360" w:lineRule="auto"/>
        <w:jc w:val="center"/>
        <w:outlineLvl w:val="0"/>
        <w:rPr>
          <w:rFonts w:ascii="宋体" w:hAnsi="宋体" w:cs="宋体"/>
          <w:color w:val="FF0000"/>
          <w:kern w:val="0"/>
          <w:szCs w:val="21"/>
        </w:rPr>
      </w:pPr>
    </w:p>
    <w:sectPr>
      <w:pgSz w:w="11906" w:h="16838"/>
      <w:pgMar w:top="1440" w:right="991"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- 16 -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20</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33270883">
    <w:nsid w:val="1FC91163"/>
    <w:multiLevelType w:val="multilevel"/>
    <w:tmpl w:val="1FC91163"/>
    <w:lvl w:ilvl="0" w:tentative="1">
      <w:start w:val="1"/>
      <w:numFmt w:val="decimal"/>
      <w:pStyle w:val="30"/>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420420922">
    <w:nsid w:val="54A9E73A"/>
    <w:multiLevelType w:val="singleLevel"/>
    <w:tmpl w:val="54A9E73A"/>
    <w:lvl w:ilvl="0" w:tentative="1">
      <w:start w:val="1"/>
      <w:numFmt w:val="decimal"/>
      <w:suff w:val="nothing"/>
      <w:lvlText w:val="%1."/>
      <w:lvlJc w:val="left"/>
    </w:lvl>
  </w:abstractNum>
  <w:abstractNum w:abstractNumId="1420420865">
    <w:nsid w:val="54A9E701"/>
    <w:multiLevelType w:val="singleLevel"/>
    <w:tmpl w:val="54A9E701"/>
    <w:lvl w:ilvl="0" w:tentative="1">
      <w:start w:val="1"/>
      <w:numFmt w:val="decimal"/>
      <w:suff w:val="nothing"/>
      <w:lvlText w:val="%1."/>
      <w:lvlJc w:val="left"/>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718">
    <w:nsid w:val="54A9E66E"/>
    <w:multiLevelType w:val="singleLevel"/>
    <w:tmpl w:val="54A9E66E"/>
    <w:lvl w:ilvl="0" w:tentative="1">
      <w:start w:val="1"/>
      <w:numFmt w:val="decimal"/>
      <w:suff w:val="nothing"/>
      <w:lvlText w:val="%1."/>
      <w:lvlJc w:val="left"/>
    </w:lvl>
  </w:abstractNum>
  <w:abstractNum w:abstractNumId="1420420792">
    <w:nsid w:val="54A9E6B8"/>
    <w:multiLevelType w:val="singleLevel"/>
    <w:tmpl w:val="54A9E6B8"/>
    <w:lvl w:ilvl="0" w:tentative="1">
      <w:start w:val="1"/>
      <w:numFmt w:val="decimal"/>
      <w:suff w:val="nothing"/>
      <w:lvlText w:val="%1."/>
      <w:lvlJc w:val="left"/>
    </w:lvl>
  </w:abstractNum>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33270883"/>
  </w:num>
  <w:num w:numId="2">
    <w:abstractNumId w:val="1769353575"/>
  </w:num>
  <w:num w:numId="3">
    <w:abstractNumId w:val="131750250"/>
  </w:num>
  <w:num w:numId="4">
    <w:abstractNumId w:val="475730024"/>
  </w:num>
  <w:num w:numId="5">
    <w:abstractNumId w:val="589968997"/>
  </w:num>
  <w:num w:numId="6">
    <w:abstractNumId w:val="1420420718"/>
  </w:num>
  <w:num w:numId="7">
    <w:abstractNumId w:val="1420420792"/>
  </w:num>
  <w:num w:numId="8">
    <w:abstractNumId w:val="1420420865"/>
  </w:num>
  <w:num w:numId="9">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7"/>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2"/>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6"/>
    <w:semiHidden/>
    <w:unhideWhenUsed/>
    <w:uiPriority w:val="99"/>
    <w:rPr>
      <w:sz w:val="18"/>
      <w:szCs w:val="18"/>
    </w:rPr>
  </w:style>
  <w:style w:type="paragraph" w:styleId="15">
    <w:name w:val="footer"/>
    <w:basedOn w:val="1"/>
    <w:link w:val="35"/>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1"/>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unhideWhenUsed/>
    <w:uiPriority w:val="99"/>
    <w:rPr>
      <w:color w:val="0000FF"/>
      <w:u w:val="single"/>
    </w:rPr>
  </w:style>
  <w:style w:type="character" w:styleId="26">
    <w:name w:val="annotation reference"/>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列出段落1"/>
    <w:basedOn w:val="1"/>
    <w:qFormat/>
    <w:uiPriority w:val="34"/>
    <w:pPr>
      <w:ind w:firstLine="420" w:firstLineChars="200"/>
    </w:pPr>
  </w:style>
  <w:style w:type="paragraph" w:customStyle="1" w:styleId="29">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0">
    <w:name w:val="章标题"/>
    <w:next w:val="1"/>
    <w:qFormat/>
    <w:uiPriority w:val="0"/>
    <w:pPr>
      <w:numPr>
        <w:ilvl w:val="0"/>
        <w:numId w:val="1"/>
      </w:numPr>
      <w:spacing w:beforeLines="100" w:afterLines="100"/>
      <w:jc w:val="both"/>
      <w:outlineLvl w:val="1"/>
    </w:pPr>
    <w:rPr>
      <w:rFonts w:ascii="黑体" w:eastAsia="黑体"/>
      <w:sz w:val="21"/>
      <w:szCs w:val="22"/>
    </w:rPr>
  </w:style>
  <w:style w:type="character" w:customStyle="1" w:styleId="31">
    <w:name w:val="目录 1 Char"/>
    <w:link w:val="17"/>
    <w:uiPriority w:val="0"/>
  </w:style>
  <w:style w:type="character" w:customStyle="1" w:styleId="32">
    <w:name w:val="目录 3 Char"/>
    <w:link w:val="9"/>
    <w:uiPriority w:val="0"/>
  </w:style>
  <w:style w:type="character" w:customStyle="1" w:styleId="33">
    <w:name w:val="black21"/>
    <w:uiPriority w:val="0"/>
    <w:rPr>
      <w:color w:val="000000"/>
      <w:sz w:val="21"/>
      <w:szCs w:val="21"/>
      <w:u w:val="none"/>
    </w:rPr>
  </w:style>
  <w:style w:type="character" w:customStyle="1" w:styleId="34">
    <w:name w:val="标题 1 Char"/>
    <w:link w:val="2"/>
    <w:qFormat/>
    <w:uiPriority w:val="0"/>
    <w:rPr>
      <w:b/>
      <w:kern w:val="44"/>
      <w:sz w:val="44"/>
    </w:rPr>
  </w:style>
  <w:style w:type="character" w:customStyle="1" w:styleId="35">
    <w:name w:val="页脚 Char"/>
    <w:link w:val="15"/>
    <w:uiPriority w:val="0"/>
    <w:rPr>
      <w:kern w:val="2"/>
      <w:sz w:val="18"/>
      <w:szCs w:val="18"/>
    </w:rPr>
  </w:style>
  <w:style w:type="character" w:customStyle="1" w:styleId="36">
    <w:name w:val="批注框文本 Char"/>
    <w:link w:val="14"/>
    <w:semiHidden/>
    <w:uiPriority w:val="99"/>
    <w:rPr>
      <w:kern w:val="2"/>
      <w:sz w:val="18"/>
      <w:szCs w:val="18"/>
    </w:rPr>
  </w:style>
  <w:style w:type="character" w:customStyle="1" w:styleId="37">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customXml" Target="../customXml/item1.xml"/><Relationship Id="rId1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1816</Words>
  <Characters>10354</Characters>
  <Lines>86</Lines>
  <Paragraphs>24</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2019-12-31T05:42:58Z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